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jc w:val="both"/>
        <w:rPr>
          <w:rFonts w:hint="eastAsia" w:ascii="宋体" w:hAnsi="宋体" w:eastAsia="宋体" w:cs="宋体"/>
          <w:b/>
          <w:bCs/>
          <w:i w:val="0"/>
          <w:caps w:val="0"/>
          <w:color w:val="000000"/>
          <w:spacing w:val="0"/>
          <w:sz w:val="21"/>
          <w:szCs w:val="21"/>
          <w:highlight w:val="none"/>
          <w:shd w:val="clear" w:fill="FFFFFF"/>
        </w:rPr>
      </w:pPr>
    </w:p>
    <w:tbl>
      <w:tblPr>
        <w:tblStyle w:val="4"/>
        <w:tblpPr w:leftFromText="180" w:rightFromText="180" w:vertAnchor="text" w:horzAnchor="page" w:tblpX="1539" w:tblpY="195"/>
        <w:tblOverlap w:val="never"/>
        <w:tblW w:w="9080" w:type="dxa"/>
        <w:tblInd w:w="0" w:type="dxa"/>
        <w:tblLayout w:type="fixed"/>
        <w:tblCellMar>
          <w:top w:w="0" w:type="dxa"/>
          <w:left w:w="108" w:type="dxa"/>
          <w:bottom w:w="0" w:type="dxa"/>
          <w:right w:w="108" w:type="dxa"/>
        </w:tblCellMar>
      </w:tblPr>
      <w:tblGrid>
        <w:gridCol w:w="588"/>
        <w:gridCol w:w="980"/>
        <w:gridCol w:w="66"/>
        <w:gridCol w:w="1046"/>
        <w:gridCol w:w="730"/>
        <w:gridCol w:w="1134"/>
        <w:gridCol w:w="354"/>
        <w:gridCol w:w="780"/>
        <w:gridCol w:w="851"/>
        <w:gridCol w:w="283"/>
        <w:gridCol w:w="284"/>
        <w:gridCol w:w="425"/>
        <w:gridCol w:w="142"/>
        <w:gridCol w:w="709"/>
        <w:gridCol w:w="708"/>
      </w:tblGrid>
      <w:tr>
        <w:tblPrEx>
          <w:tblCellMar>
            <w:top w:w="0" w:type="dxa"/>
            <w:left w:w="108" w:type="dxa"/>
            <w:bottom w:w="0" w:type="dxa"/>
            <w:right w:w="108" w:type="dxa"/>
          </w:tblCellMar>
        </w:tblPrEx>
        <w:trPr>
          <w:trHeight w:val="529" w:hRule="exact"/>
        </w:trPr>
        <w:tc>
          <w:tcPr>
            <w:tcW w:w="9080" w:type="dxa"/>
            <w:gridSpan w:val="15"/>
            <w:tcBorders>
              <w:top w:val="nil"/>
              <w:left w:val="nil"/>
              <w:bottom w:val="nil"/>
              <w:right w:val="nil"/>
            </w:tcBorders>
            <w:noWrap w:val="0"/>
            <w:vAlign w:val="center"/>
          </w:tcPr>
          <w:p>
            <w:pPr>
              <w:widowControl/>
              <w:spacing w:line="320" w:lineRule="exact"/>
              <w:jc w:val="center"/>
              <w:rPr>
                <w:rFonts w:ascii="宋体" w:hAnsi="宋体" w:eastAsia="宋体" w:cs="宋体"/>
                <w:b/>
                <w:bCs/>
                <w:kern w:val="0"/>
                <w:sz w:val="32"/>
                <w:szCs w:val="32"/>
              </w:rPr>
            </w:pPr>
            <w:r>
              <w:rPr>
                <w:rFonts w:hint="eastAsia" w:ascii="华文中宋" w:hAnsi="华文中宋" w:eastAsia="华文中宋" w:cs="华文中宋"/>
                <w:b/>
                <w:bCs/>
                <w:kern w:val="0"/>
                <w:sz w:val="32"/>
                <w:szCs w:val="32"/>
              </w:rPr>
              <w:t>项目支出绩效自评表</w:t>
            </w:r>
          </w:p>
        </w:tc>
      </w:tr>
      <w:tr>
        <w:tblPrEx>
          <w:tblCellMar>
            <w:top w:w="0" w:type="dxa"/>
            <w:left w:w="108" w:type="dxa"/>
            <w:bottom w:w="0" w:type="dxa"/>
            <w:right w:w="108" w:type="dxa"/>
          </w:tblCellMar>
        </w:tblPrEx>
        <w:trPr>
          <w:trHeight w:val="201" w:hRule="atLeast"/>
        </w:trPr>
        <w:tc>
          <w:tcPr>
            <w:tcW w:w="9080" w:type="dxa"/>
            <w:gridSpan w:val="15"/>
            <w:tcBorders>
              <w:top w:val="nil"/>
              <w:left w:val="nil"/>
              <w:bottom w:val="nil"/>
              <w:right w:val="nil"/>
            </w:tcBorders>
            <w:noWrap w:val="0"/>
            <w:vAlign w:val="top"/>
          </w:tcPr>
          <w:p>
            <w:pPr>
              <w:widowControl/>
              <w:jc w:val="both"/>
              <w:rPr>
                <w:rFonts w:ascii="宋体" w:hAnsi="宋体" w:eastAsia="宋体" w:cs="宋体"/>
                <w:kern w:val="0"/>
                <w:sz w:val="22"/>
                <w:szCs w:val="22"/>
              </w:rPr>
            </w:pPr>
            <w:r>
              <w:rPr>
                <w:rFonts w:hint="eastAsia" w:ascii="宋体" w:hAnsi="宋体" w:eastAsia="宋体" w:cs="宋体"/>
                <w:kern w:val="0"/>
                <w:sz w:val="22"/>
                <w:szCs w:val="22"/>
              </w:rPr>
              <w:t>填列单位（公章）：</w:t>
            </w:r>
            <w:r>
              <w:rPr>
                <w:rFonts w:hint="eastAsia" w:ascii="宋体" w:hAnsi="宋体" w:eastAsia="宋体" w:cs="宋体"/>
                <w:kern w:val="0"/>
                <w:sz w:val="22"/>
                <w:szCs w:val="22"/>
                <w:lang w:val="en-US" w:eastAsia="zh-CN"/>
              </w:rPr>
              <w:t xml:space="preserve">                </w:t>
            </w:r>
            <w:r>
              <w:rPr>
                <w:rFonts w:hint="eastAsia" w:ascii="宋体" w:hAnsi="宋体" w:eastAsia="宋体" w:cs="宋体"/>
                <w:kern w:val="0"/>
                <w:sz w:val="22"/>
                <w:szCs w:val="22"/>
              </w:rPr>
              <w:t xml:space="preserve">（  </w:t>
            </w:r>
            <w:r>
              <w:rPr>
                <w:rFonts w:hint="eastAsia" w:ascii="宋体" w:hAnsi="宋体" w:eastAsia="宋体" w:cs="宋体"/>
                <w:kern w:val="0"/>
                <w:sz w:val="22"/>
                <w:szCs w:val="22"/>
                <w:lang w:val="en-US" w:eastAsia="zh-CN"/>
              </w:rPr>
              <w:t>2021</w:t>
            </w:r>
            <w:r>
              <w:rPr>
                <w:rFonts w:hint="eastAsia" w:ascii="宋体" w:hAnsi="宋体" w:eastAsia="宋体" w:cs="宋体"/>
                <w:kern w:val="0"/>
                <w:sz w:val="22"/>
                <w:szCs w:val="22"/>
              </w:rPr>
              <w:t xml:space="preserve">  年度）</w:t>
            </w:r>
          </w:p>
        </w:tc>
      </w:tr>
      <w:tr>
        <w:tblPrEx>
          <w:tblCellMar>
            <w:top w:w="0" w:type="dxa"/>
            <w:left w:w="108" w:type="dxa"/>
            <w:bottom w:w="0" w:type="dxa"/>
            <w:right w:w="108" w:type="dxa"/>
          </w:tblCellMar>
        </w:tblPrEx>
        <w:trPr>
          <w:trHeight w:val="320" w:hRule="exact"/>
        </w:trPr>
        <w:tc>
          <w:tcPr>
            <w:tcW w:w="1568"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tcW w:w="7512" w:type="dxa"/>
            <w:gridSpan w:val="1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6"/>
                <w:szCs w:val="16"/>
                <w:lang w:val="en-US" w:eastAsia="zh-CN"/>
              </w:rPr>
            </w:pPr>
            <w:r>
              <w:rPr>
                <w:rFonts w:hint="eastAsia" w:ascii="宋体" w:hAnsi="宋体" w:eastAsia="宋体" w:cs="宋体"/>
                <w:kern w:val="0"/>
                <w:sz w:val="16"/>
                <w:szCs w:val="16"/>
                <w:lang w:val="en-US" w:eastAsia="zh-CN"/>
              </w:rPr>
              <w:t>J决算会审、核查及财务报告编制委托经费</w:t>
            </w:r>
          </w:p>
        </w:tc>
      </w:tr>
      <w:tr>
        <w:tblPrEx>
          <w:tblCellMar>
            <w:top w:w="0" w:type="dxa"/>
            <w:left w:w="108" w:type="dxa"/>
            <w:bottom w:w="0" w:type="dxa"/>
            <w:right w:w="108" w:type="dxa"/>
          </w:tblCellMar>
        </w:tblPrEx>
        <w:trPr>
          <w:trHeight w:val="380" w:hRule="exact"/>
        </w:trPr>
        <w:tc>
          <w:tcPr>
            <w:tcW w:w="1568"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tcW w:w="4110" w:type="dxa"/>
            <w:gridSpan w:val="6"/>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大同市财政局</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tcW w:w="2268" w:type="dxa"/>
            <w:gridSpan w:val="5"/>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大同市财政局</w:t>
            </w:r>
          </w:p>
        </w:tc>
      </w:tr>
      <w:tr>
        <w:tblPrEx>
          <w:tblCellMar>
            <w:top w:w="0" w:type="dxa"/>
            <w:left w:w="108" w:type="dxa"/>
            <w:bottom w:w="0" w:type="dxa"/>
            <w:right w:w="108" w:type="dxa"/>
          </w:tblCellMar>
        </w:tblPrEx>
        <w:trPr>
          <w:trHeight w:val="300" w:hRule="exact"/>
        </w:trPr>
        <w:tc>
          <w:tcPr>
            <w:tcW w:w="1568"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项目资金</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（万元）</w:t>
            </w: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执行率</w:t>
            </w: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tblPrEx>
          <w:tblCellMar>
            <w:top w:w="0" w:type="dxa"/>
            <w:left w:w="108" w:type="dxa"/>
            <w:bottom w:w="0" w:type="dxa"/>
            <w:right w:w="108" w:type="dxa"/>
          </w:tblCellMar>
        </w:tblPrEx>
        <w:trPr>
          <w:trHeight w:val="300" w:hRule="exact"/>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年度资金总额</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25.6</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25.6</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24.75</w:t>
            </w: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100%</w:t>
            </w: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r>
      <w:tr>
        <w:tblPrEx>
          <w:tblCellMar>
            <w:top w:w="0" w:type="dxa"/>
            <w:left w:w="108" w:type="dxa"/>
            <w:bottom w:w="0" w:type="dxa"/>
            <w:right w:w="108" w:type="dxa"/>
          </w:tblCellMar>
        </w:tblPrEx>
        <w:trPr>
          <w:trHeight w:val="265" w:hRule="exact"/>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其中：当年财政拨款</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25.6</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25.6</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24.75</w:t>
            </w: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100%</w:t>
            </w: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上年结转资金</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其他资金</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trPr>
        <w:tc>
          <w:tcPr>
            <w:tcW w:w="588"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tcW w:w="5090"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tcW w:w="3402"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tblPrEx>
          <w:tblCellMar>
            <w:top w:w="0" w:type="dxa"/>
            <w:left w:w="108" w:type="dxa"/>
            <w:bottom w:w="0" w:type="dxa"/>
            <w:right w:w="108" w:type="dxa"/>
          </w:tblCellMar>
        </w:tblPrEx>
        <w:trPr>
          <w:trHeight w:val="1223" w:hRule="exact"/>
        </w:trPr>
        <w:tc>
          <w:tcPr>
            <w:tcW w:w="588"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090" w:type="dxa"/>
            <w:gridSpan w:val="7"/>
            <w:tcBorders>
              <w:top w:val="single" w:color="auto" w:sz="4" w:space="0"/>
              <w:left w:val="nil"/>
              <w:bottom w:val="single" w:color="auto" w:sz="4" w:space="0"/>
              <w:right w:val="single" w:color="auto" w:sz="4" w:space="0"/>
            </w:tcBorders>
            <w:noWrap w:val="0"/>
            <w:vAlign w:val="center"/>
          </w:tcPr>
          <w:p>
            <w:pPr>
              <w:widowControl/>
              <w:spacing w:line="240" w:lineRule="auto"/>
              <w:jc w:val="center"/>
              <w:rPr>
                <w:rFonts w:hint="eastAsia" w:ascii="宋体" w:hAnsi="宋体" w:eastAsia="宋体" w:cs="宋体"/>
                <w:kern w:val="0"/>
                <w:sz w:val="13"/>
                <w:szCs w:val="13"/>
                <w:lang w:eastAsia="zh-CN"/>
              </w:rPr>
            </w:pPr>
            <w:r>
              <w:rPr>
                <w:rFonts w:hint="eastAsia" w:ascii="宋体" w:hAnsi="宋体" w:eastAsia="宋体" w:cs="宋体"/>
                <w:kern w:val="0"/>
                <w:sz w:val="18"/>
                <w:szCs w:val="18"/>
                <w:lang w:eastAsia="zh-CN"/>
              </w:rPr>
              <w:t>聘请第三方完成决算报告、及财务报告审核及编制。</w:t>
            </w:r>
          </w:p>
        </w:tc>
        <w:tc>
          <w:tcPr>
            <w:tcW w:w="3402"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eastAsia="zh-CN"/>
              </w:rPr>
              <w:t>决算审核完成并上报省厅支付50%，政府财务报告编制并上报省厅支付30%，完成至少三个县区10%预算单位账表一致核查并完成通报支付20%。</w:t>
            </w:r>
          </w:p>
        </w:tc>
      </w:tr>
      <w:tr>
        <w:tblPrEx>
          <w:tblCellMar>
            <w:top w:w="0" w:type="dxa"/>
            <w:left w:w="108" w:type="dxa"/>
            <w:bottom w:w="0" w:type="dxa"/>
            <w:right w:w="108" w:type="dxa"/>
          </w:tblCellMar>
        </w:tblPrEx>
        <w:trPr>
          <w:trHeight w:val="533" w:hRule="exact"/>
        </w:trPr>
        <w:tc>
          <w:tcPr>
            <w:tcW w:w="588" w:type="dxa"/>
            <w:vMerge w:val="restart"/>
            <w:tcBorders>
              <w:top w:val="nil"/>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绩</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效</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指</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标</w:t>
            </w:r>
          </w:p>
        </w:tc>
        <w:tc>
          <w:tcPr>
            <w:tcW w:w="9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一级指标</w:t>
            </w:r>
          </w:p>
        </w:tc>
        <w:tc>
          <w:tcPr>
            <w:tcW w:w="111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二级指标</w:t>
            </w: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三级指标</w:t>
            </w: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年度</w:t>
            </w:r>
          </w:p>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指标值</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实际</w:t>
            </w:r>
          </w:p>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完成值</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分值</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得分</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偏差原因分析及改进措施</w:t>
            </w:r>
          </w:p>
        </w:tc>
      </w:tr>
      <w:tr>
        <w:tblPrEx>
          <w:tblCellMar>
            <w:top w:w="0" w:type="dxa"/>
            <w:left w:w="108" w:type="dxa"/>
            <w:bottom w:w="0" w:type="dxa"/>
            <w:right w:w="108" w:type="dxa"/>
          </w:tblCellMar>
        </w:tblPrEx>
        <w:trPr>
          <w:trHeight w:val="312"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产出指标</w:t>
            </w: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数量指标</w:t>
            </w: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编制全市决算报告</w:t>
            </w: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1份</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1份</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7</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7</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1"/>
                <w:szCs w:val="11"/>
              </w:rPr>
            </w:pPr>
          </w:p>
        </w:tc>
      </w:tr>
      <w:tr>
        <w:tblPrEx>
          <w:tblCellMar>
            <w:top w:w="0" w:type="dxa"/>
            <w:left w:w="108" w:type="dxa"/>
            <w:bottom w:w="0" w:type="dxa"/>
            <w:right w:w="108" w:type="dxa"/>
          </w:tblCellMar>
        </w:tblPrEx>
        <w:trPr>
          <w:trHeight w:val="286"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编制全市财务报告</w:t>
            </w: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1份</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1份</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7</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7</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聘请第三方机构数</w:t>
            </w: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1家</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1家</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7</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7</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质量指标</w:t>
            </w: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报告质量水平</w:t>
            </w: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高</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高</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7</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7</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报告利用率</w:t>
            </w: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100%</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7</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7</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1"/>
                <w:szCs w:val="11"/>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lang w:val="en-US" w:eastAsia="zh-CN" w:bidi="ar-SA"/>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r>
      <w:tr>
        <w:tblPrEx>
          <w:tblCellMar>
            <w:top w:w="0" w:type="dxa"/>
            <w:left w:w="108" w:type="dxa"/>
            <w:bottom w:w="0" w:type="dxa"/>
            <w:right w:w="108" w:type="dxa"/>
          </w:tblCellMar>
        </w:tblPrEx>
        <w:trPr>
          <w:trHeight w:val="399"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时效指标</w:t>
            </w: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项目开展周期</w:t>
            </w: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1月-12月</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1月-12月</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7</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7</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lang w:val="en-US" w:eastAsia="zh-CN" w:bidi="ar-SA"/>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lang w:val="en-US" w:eastAsia="zh-CN" w:bidi="ar-SA"/>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425"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成本指标</w:t>
            </w: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项目预算数</w:t>
            </w: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25.6万元</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24.75万元</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8</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8</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效益指标</w:t>
            </w: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经济效益</w:t>
            </w:r>
          </w:p>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指标</w:t>
            </w: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4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社会效益</w:t>
            </w:r>
          </w:p>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指标</w:t>
            </w: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保障单位工作顺利完成</w:t>
            </w: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保障</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保障</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30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30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eastAsia="zh-CN"/>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ab/>
            </w:r>
            <w:r>
              <w:rPr>
                <w:rFonts w:hint="eastAsia" w:ascii="宋体" w:hAnsi="宋体" w:eastAsia="宋体" w:cs="宋体"/>
                <w:kern w:val="0"/>
                <w:sz w:val="18"/>
                <w:szCs w:val="18"/>
              </w:rPr>
              <w:t>确保监事履行驻村干部职责</w:t>
            </w:r>
            <w:r>
              <w:rPr>
                <w:rFonts w:hint="eastAsia" w:ascii="宋体" w:hAnsi="宋体" w:eastAsia="宋体" w:cs="宋体"/>
                <w:kern w:val="0"/>
                <w:sz w:val="18"/>
                <w:szCs w:val="18"/>
              </w:rPr>
              <w:tab/>
            </w:r>
            <w:r>
              <w:rPr>
                <w:rFonts w:hint="eastAsia" w:ascii="宋体" w:hAnsi="宋体" w:eastAsia="宋体" w:cs="宋体"/>
                <w:kern w:val="0"/>
                <w:sz w:val="18"/>
                <w:szCs w:val="18"/>
              </w:rPr>
              <w:t>确保监事履行驻村干部职责</w:t>
            </w: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生态效益</w:t>
            </w:r>
          </w:p>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指标</w:t>
            </w: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可持续影响指标</w:t>
            </w: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87"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nil"/>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满意度</w:t>
            </w:r>
          </w:p>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指标</w:t>
            </w: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服务对象满意度指标</w:t>
            </w: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单位人员满意度</w:t>
            </w: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90%</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90%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eastAsia="zh-CN"/>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1"/>
                <w:szCs w:val="11"/>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r>
      <w:tr>
        <w:tblPrEx>
          <w:tblCellMar>
            <w:top w:w="0" w:type="dxa"/>
            <w:left w:w="108" w:type="dxa"/>
            <w:bottom w:w="0" w:type="dxa"/>
            <w:right w:w="108" w:type="dxa"/>
          </w:tblCellMar>
        </w:tblPrEx>
        <w:trPr>
          <w:trHeight w:val="300" w:hRule="exact"/>
        </w:trPr>
        <w:tc>
          <w:tcPr>
            <w:tcW w:w="6529" w:type="dxa"/>
            <w:gridSpan w:val="9"/>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color w:val="000000"/>
                <w:kern w:val="0"/>
                <w:sz w:val="15"/>
                <w:szCs w:val="15"/>
              </w:rPr>
            </w:pPr>
            <w:r>
              <w:rPr>
                <w:rFonts w:hint="eastAsia" w:ascii="宋体" w:hAnsi="宋体" w:eastAsia="宋体" w:cs="宋体"/>
                <w:color w:val="000000"/>
                <w:kern w:val="0"/>
                <w:sz w:val="15"/>
                <w:szCs w:val="15"/>
              </w:rPr>
              <w:t>总分</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color w:val="000000"/>
                <w:kern w:val="0"/>
                <w:sz w:val="15"/>
                <w:szCs w:val="15"/>
              </w:rPr>
            </w:pPr>
            <w:r>
              <w:rPr>
                <w:rFonts w:hint="eastAsia" w:ascii="宋体" w:hAnsi="宋体" w:eastAsia="宋体" w:cs="宋体"/>
                <w:color w:val="000000"/>
                <w:kern w:val="0"/>
                <w:sz w:val="15"/>
                <w:szCs w:val="15"/>
              </w:rPr>
              <w:t>100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color w:val="000000"/>
                <w:kern w:val="0"/>
                <w:sz w:val="15"/>
                <w:szCs w:val="15"/>
                <w:lang w:val="en-US" w:eastAsia="zh-CN"/>
              </w:rPr>
            </w:pPr>
            <w:r>
              <w:rPr>
                <w:rFonts w:hint="eastAsia" w:ascii="宋体" w:hAnsi="宋体" w:eastAsia="宋体" w:cs="宋体"/>
                <w:color w:val="000000"/>
                <w:kern w:val="0"/>
                <w:sz w:val="15"/>
                <w:szCs w:val="15"/>
                <w:lang w:val="en-US" w:eastAsia="zh-CN"/>
              </w:rPr>
              <w:t>100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r>
      <w:tr>
        <w:tblPrEx>
          <w:tblCellMar>
            <w:top w:w="0" w:type="dxa"/>
            <w:left w:w="108" w:type="dxa"/>
            <w:bottom w:w="0" w:type="dxa"/>
            <w:right w:w="108" w:type="dxa"/>
          </w:tblCellMar>
        </w:tblPrEx>
        <w:trPr>
          <w:trHeight w:val="1190" w:hRule="atLeast"/>
        </w:trPr>
        <w:tc>
          <w:tcPr>
            <w:tcW w:w="588"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项目绩效分析</w:t>
            </w:r>
          </w:p>
        </w:tc>
        <w:tc>
          <w:tcPr>
            <w:tcW w:w="1046"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自评结果分析</w:t>
            </w:r>
          </w:p>
        </w:tc>
        <w:tc>
          <w:tcPr>
            <w:tcW w:w="10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项目实施和预算执行情况及分析</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default" w:ascii="宋体" w:hAnsi="宋体" w:eastAsia="宋体" w:cs="宋体"/>
                <w:kern w:val="0"/>
                <w:sz w:val="18"/>
                <w:szCs w:val="18"/>
                <w:lang w:val="en-US" w:eastAsia="zh-CN"/>
              </w:rPr>
              <w:t>J决算会审、核查及财务报告编制委托经费项目，年初预算25.6万元，执行数24.75万元，得分10分。</w:t>
            </w:r>
          </w:p>
        </w:tc>
      </w:tr>
      <w:tr>
        <w:tblPrEx>
          <w:tblCellMar>
            <w:top w:w="0" w:type="dxa"/>
            <w:left w:w="108" w:type="dxa"/>
            <w:bottom w:w="0" w:type="dxa"/>
            <w:right w:w="108" w:type="dxa"/>
          </w:tblCellMar>
        </w:tblPrEx>
        <w:trPr>
          <w:trHeight w:val="1045" w:hRule="atLeast"/>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p>
        </w:tc>
        <w:tc>
          <w:tcPr>
            <w:tcW w:w="10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产出情况及分析</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J决算会审、核查及财务报告编制委托经费项目，产出指标分析结果如下：数量指标，编制全市决算报告1份，编制全市财务报告1份，聘请第三方机构数1家；质量指标，报告利用率100%，报告质量水平高；时效指标，项目开展周期1月-12月；成本指标不超预算。得分50分。</w:t>
            </w:r>
          </w:p>
        </w:tc>
      </w:tr>
      <w:tr>
        <w:tblPrEx>
          <w:tblCellMar>
            <w:top w:w="0" w:type="dxa"/>
            <w:left w:w="108" w:type="dxa"/>
            <w:bottom w:w="0" w:type="dxa"/>
            <w:right w:w="108" w:type="dxa"/>
          </w:tblCellMar>
        </w:tblPrEx>
        <w:trPr>
          <w:trHeight w:val="1100" w:hRule="atLeast"/>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p>
        </w:tc>
        <w:tc>
          <w:tcPr>
            <w:tcW w:w="10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效益情况及分析</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J决算会审、核查及财务报告编制委托经费项目，效益指标分析结果如下：保障工作顺利完成。得分30分。</w:t>
            </w:r>
          </w:p>
        </w:tc>
      </w:tr>
      <w:tr>
        <w:tblPrEx>
          <w:tblCellMar>
            <w:top w:w="0" w:type="dxa"/>
            <w:left w:w="108" w:type="dxa"/>
            <w:bottom w:w="0" w:type="dxa"/>
            <w:right w:w="108" w:type="dxa"/>
          </w:tblCellMar>
        </w:tblPrEx>
        <w:trPr>
          <w:trHeight w:val="890" w:hRule="atLeast"/>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p>
        </w:tc>
        <w:tc>
          <w:tcPr>
            <w:tcW w:w="10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满意度情况及分析</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color w:val="000000"/>
                <w:kern w:val="0"/>
                <w:sz w:val="18"/>
                <w:szCs w:val="18"/>
                <w:lang w:val="en-US" w:eastAsia="zh-CN"/>
              </w:rPr>
            </w:pPr>
            <w:r>
              <w:rPr>
                <w:rFonts w:hint="default" w:ascii="宋体" w:hAnsi="宋体" w:eastAsia="宋体" w:cs="宋体"/>
                <w:color w:val="000000"/>
                <w:kern w:val="0"/>
                <w:sz w:val="18"/>
                <w:szCs w:val="18"/>
                <w:lang w:val="en-US" w:eastAsia="zh-CN"/>
              </w:rPr>
              <w:t>J决算会审、核查及财务报告编制委托经费项目，满意度指标分析结果如下：单位人员满意度90%。得分10分。</w:t>
            </w:r>
          </w:p>
        </w:tc>
      </w:tr>
      <w:tr>
        <w:tblPrEx>
          <w:tblCellMar>
            <w:top w:w="0" w:type="dxa"/>
            <w:left w:w="108" w:type="dxa"/>
            <w:bottom w:w="0" w:type="dxa"/>
            <w:right w:w="108" w:type="dxa"/>
          </w:tblCellMar>
        </w:tblPrEx>
        <w:trPr>
          <w:trHeight w:val="1800" w:hRule="exact"/>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主要经验做法</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加强财务规范化管理和绩效业务的学习，增强内部预算管理意识，提高预算编制和绩效评估的水平。</w:t>
            </w:r>
          </w:p>
        </w:tc>
      </w:tr>
      <w:tr>
        <w:tblPrEx>
          <w:tblCellMar>
            <w:top w:w="0" w:type="dxa"/>
            <w:left w:w="108" w:type="dxa"/>
            <w:bottom w:w="0" w:type="dxa"/>
            <w:right w:w="108" w:type="dxa"/>
          </w:tblCellMar>
        </w:tblPrEx>
        <w:trPr>
          <w:trHeight w:val="2782" w:hRule="exact"/>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项目管理中存在的</w:t>
            </w:r>
          </w:p>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主要问题及原因分析</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绩效目标设置有待提高。在今后的预算编制工作中，绩效目标的设置需更加科学化、精细化、合理化。</w:t>
            </w:r>
          </w:p>
        </w:tc>
      </w:tr>
      <w:tr>
        <w:tblPrEx>
          <w:tblCellMar>
            <w:top w:w="0" w:type="dxa"/>
            <w:left w:w="108" w:type="dxa"/>
            <w:bottom w:w="0" w:type="dxa"/>
            <w:right w:w="108" w:type="dxa"/>
          </w:tblCellMar>
        </w:tblPrEx>
        <w:trPr>
          <w:trHeight w:val="2497" w:hRule="exact"/>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下一步改进措施及</w:t>
            </w:r>
          </w:p>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管理建议</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我单位通过对项目支出绩效和预算项目资金全面自评工作，对财政资金预算执行情况、资金使用情况进行了全面分析，总结预算资金管理经验，找准存在的问题，为进一步加强和规范项目和资金管理，完善项目和资金管理办法，指导项目预算编制，优化支出结构提供决策参考和依据。</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jc w:val="both"/>
        <w:rPr>
          <w:rFonts w:hint="eastAsia" w:ascii="宋体" w:hAnsi="宋体" w:eastAsia="宋体" w:cs="宋体"/>
          <w:b/>
          <w:bCs/>
          <w:i w:val="0"/>
          <w:caps w:val="0"/>
          <w:color w:val="000000"/>
          <w:spacing w:val="0"/>
          <w:sz w:val="21"/>
          <w:szCs w:val="21"/>
          <w:highlight w:val="none"/>
          <w:shd w:val="clear" w:fill="FFFFFF"/>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jc w:val="both"/>
        <w:rPr>
          <w:rFonts w:hint="eastAsia" w:ascii="宋体" w:hAnsi="宋体" w:eastAsia="宋体" w:cs="宋体"/>
          <w:b/>
          <w:bCs/>
          <w:i w:val="0"/>
          <w:caps w:val="0"/>
          <w:color w:val="000000"/>
          <w:spacing w:val="0"/>
          <w:sz w:val="21"/>
          <w:szCs w:val="21"/>
          <w:highlight w:val="none"/>
          <w:shd w:val="clear" w:fill="FFFFFF"/>
        </w:rPr>
      </w:pPr>
    </w:p>
    <w:p>
      <w:pPr>
        <w:spacing w:line="360" w:lineRule="auto"/>
        <w:rPr>
          <w:b/>
          <w:bCs/>
          <w:highlight w:val="none"/>
        </w:rPr>
      </w:pPr>
    </w:p>
    <w:p>
      <w:pPr>
        <w:spacing w:line="360" w:lineRule="auto"/>
        <w:rPr>
          <w:b/>
          <w:bCs/>
          <w:highlight w:val="none"/>
        </w:rPr>
      </w:pPr>
    </w:p>
    <w:tbl>
      <w:tblPr>
        <w:tblStyle w:val="4"/>
        <w:tblpPr w:leftFromText="180" w:rightFromText="180" w:vertAnchor="text" w:horzAnchor="page" w:tblpX="1539" w:tblpY="195"/>
        <w:tblOverlap w:val="never"/>
        <w:tblW w:w="9080" w:type="dxa"/>
        <w:tblInd w:w="0" w:type="dxa"/>
        <w:tblLayout w:type="fixed"/>
        <w:tblCellMar>
          <w:top w:w="0" w:type="dxa"/>
          <w:left w:w="108" w:type="dxa"/>
          <w:bottom w:w="0" w:type="dxa"/>
          <w:right w:w="108" w:type="dxa"/>
        </w:tblCellMar>
      </w:tblPr>
      <w:tblGrid>
        <w:gridCol w:w="588"/>
        <w:gridCol w:w="980"/>
        <w:gridCol w:w="66"/>
        <w:gridCol w:w="1046"/>
        <w:gridCol w:w="730"/>
        <w:gridCol w:w="1134"/>
        <w:gridCol w:w="354"/>
        <w:gridCol w:w="780"/>
        <w:gridCol w:w="851"/>
        <w:gridCol w:w="283"/>
        <w:gridCol w:w="284"/>
        <w:gridCol w:w="425"/>
        <w:gridCol w:w="142"/>
        <w:gridCol w:w="709"/>
        <w:gridCol w:w="708"/>
      </w:tblGrid>
      <w:tr>
        <w:tblPrEx>
          <w:tblCellMar>
            <w:top w:w="0" w:type="dxa"/>
            <w:left w:w="108" w:type="dxa"/>
            <w:bottom w:w="0" w:type="dxa"/>
            <w:right w:w="108" w:type="dxa"/>
          </w:tblCellMar>
        </w:tblPrEx>
        <w:trPr>
          <w:trHeight w:val="529" w:hRule="exact"/>
        </w:trPr>
        <w:tc>
          <w:tcPr>
            <w:tcW w:w="9080" w:type="dxa"/>
            <w:gridSpan w:val="15"/>
            <w:tcBorders>
              <w:top w:val="nil"/>
              <w:left w:val="nil"/>
              <w:bottom w:val="nil"/>
              <w:right w:val="nil"/>
            </w:tcBorders>
            <w:noWrap w:val="0"/>
            <w:vAlign w:val="center"/>
          </w:tcPr>
          <w:p>
            <w:pPr>
              <w:widowControl/>
              <w:spacing w:line="320" w:lineRule="exact"/>
              <w:jc w:val="center"/>
              <w:rPr>
                <w:rFonts w:ascii="宋体" w:hAnsi="宋体" w:eastAsia="宋体" w:cs="宋体"/>
                <w:b/>
                <w:bCs/>
                <w:kern w:val="0"/>
                <w:sz w:val="32"/>
                <w:szCs w:val="32"/>
              </w:rPr>
            </w:pPr>
            <w:r>
              <w:rPr>
                <w:rFonts w:hint="eastAsia" w:ascii="华文中宋" w:hAnsi="华文中宋" w:eastAsia="华文中宋" w:cs="华文中宋"/>
                <w:b/>
                <w:bCs/>
                <w:kern w:val="0"/>
                <w:sz w:val="32"/>
                <w:szCs w:val="32"/>
              </w:rPr>
              <w:t>项目支出绩效自评表</w:t>
            </w:r>
          </w:p>
        </w:tc>
      </w:tr>
      <w:tr>
        <w:tblPrEx>
          <w:tblCellMar>
            <w:top w:w="0" w:type="dxa"/>
            <w:left w:w="108" w:type="dxa"/>
            <w:bottom w:w="0" w:type="dxa"/>
            <w:right w:w="108" w:type="dxa"/>
          </w:tblCellMar>
        </w:tblPrEx>
        <w:trPr>
          <w:trHeight w:val="201" w:hRule="atLeast"/>
        </w:trPr>
        <w:tc>
          <w:tcPr>
            <w:tcW w:w="9080" w:type="dxa"/>
            <w:gridSpan w:val="15"/>
            <w:tcBorders>
              <w:top w:val="nil"/>
              <w:left w:val="nil"/>
              <w:bottom w:val="nil"/>
              <w:right w:val="nil"/>
            </w:tcBorders>
            <w:noWrap w:val="0"/>
            <w:vAlign w:val="top"/>
          </w:tcPr>
          <w:p>
            <w:pPr>
              <w:widowControl/>
              <w:jc w:val="both"/>
              <w:rPr>
                <w:rFonts w:ascii="宋体" w:hAnsi="宋体" w:eastAsia="宋体" w:cs="宋体"/>
                <w:kern w:val="0"/>
                <w:sz w:val="22"/>
                <w:szCs w:val="22"/>
              </w:rPr>
            </w:pPr>
            <w:r>
              <w:rPr>
                <w:rFonts w:hint="eastAsia" w:ascii="宋体" w:hAnsi="宋体" w:eastAsia="宋体" w:cs="宋体"/>
                <w:kern w:val="0"/>
                <w:sz w:val="22"/>
                <w:szCs w:val="22"/>
              </w:rPr>
              <w:t>填列单位（公章）：</w:t>
            </w:r>
            <w:r>
              <w:rPr>
                <w:rFonts w:hint="eastAsia" w:ascii="宋体" w:hAnsi="宋体" w:eastAsia="宋体" w:cs="宋体"/>
                <w:kern w:val="0"/>
                <w:sz w:val="22"/>
                <w:szCs w:val="22"/>
                <w:lang w:val="en-US" w:eastAsia="zh-CN"/>
              </w:rPr>
              <w:t xml:space="preserve">                </w:t>
            </w:r>
            <w:r>
              <w:rPr>
                <w:rFonts w:hint="eastAsia" w:ascii="宋体" w:hAnsi="宋体" w:eastAsia="宋体" w:cs="宋体"/>
                <w:kern w:val="0"/>
                <w:sz w:val="22"/>
                <w:szCs w:val="22"/>
              </w:rPr>
              <w:t xml:space="preserve">（  </w:t>
            </w:r>
            <w:r>
              <w:rPr>
                <w:rFonts w:hint="eastAsia" w:ascii="宋体" w:hAnsi="宋体" w:eastAsia="宋体" w:cs="宋体"/>
                <w:kern w:val="0"/>
                <w:sz w:val="22"/>
                <w:szCs w:val="22"/>
                <w:lang w:val="en-US" w:eastAsia="zh-CN"/>
              </w:rPr>
              <w:t>2021</w:t>
            </w:r>
            <w:r>
              <w:rPr>
                <w:rFonts w:hint="eastAsia" w:ascii="宋体" w:hAnsi="宋体" w:eastAsia="宋体" w:cs="宋体"/>
                <w:kern w:val="0"/>
                <w:sz w:val="22"/>
                <w:szCs w:val="22"/>
              </w:rPr>
              <w:t xml:space="preserve">  年度）</w:t>
            </w:r>
          </w:p>
        </w:tc>
      </w:tr>
      <w:tr>
        <w:tblPrEx>
          <w:tblCellMar>
            <w:top w:w="0" w:type="dxa"/>
            <w:left w:w="108" w:type="dxa"/>
            <w:bottom w:w="0" w:type="dxa"/>
            <w:right w:w="108" w:type="dxa"/>
          </w:tblCellMar>
        </w:tblPrEx>
        <w:trPr>
          <w:trHeight w:val="320" w:hRule="exact"/>
        </w:trPr>
        <w:tc>
          <w:tcPr>
            <w:tcW w:w="1568"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tcW w:w="7512" w:type="dxa"/>
            <w:gridSpan w:val="1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6"/>
                <w:szCs w:val="16"/>
                <w:lang w:val="en-US" w:eastAsia="zh-CN"/>
              </w:rPr>
            </w:pPr>
            <w:r>
              <w:rPr>
                <w:rFonts w:hint="eastAsia" w:ascii="宋体" w:hAnsi="宋体" w:eastAsia="宋体" w:cs="宋体"/>
                <w:kern w:val="0"/>
                <w:sz w:val="16"/>
                <w:szCs w:val="16"/>
                <w:lang w:eastAsia="zh-CN"/>
              </w:rPr>
              <w:t>J公益二类事业单位政府购买服务（大同市财政服务中心）</w:t>
            </w:r>
          </w:p>
        </w:tc>
      </w:tr>
      <w:tr>
        <w:tblPrEx>
          <w:tblCellMar>
            <w:top w:w="0" w:type="dxa"/>
            <w:left w:w="108" w:type="dxa"/>
            <w:bottom w:w="0" w:type="dxa"/>
            <w:right w:w="108" w:type="dxa"/>
          </w:tblCellMar>
        </w:tblPrEx>
        <w:trPr>
          <w:trHeight w:val="380" w:hRule="exact"/>
        </w:trPr>
        <w:tc>
          <w:tcPr>
            <w:tcW w:w="1568"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tcW w:w="4110" w:type="dxa"/>
            <w:gridSpan w:val="6"/>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大同市财政局</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tcW w:w="2268" w:type="dxa"/>
            <w:gridSpan w:val="5"/>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大同市财政局</w:t>
            </w:r>
          </w:p>
        </w:tc>
      </w:tr>
      <w:tr>
        <w:tblPrEx>
          <w:tblCellMar>
            <w:top w:w="0" w:type="dxa"/>
            <w:left w:w="108" w:type="dxa"/>
            <w:bottom w:w="0" w:type="dxa"/>
            <w:right w:w="108" w:type="dxa"/>
          </w:tblCellMar>
        </w:tblPrEx>
        <w:trPr>
          <w:trHeight w:val="300" w:hRule="exact"/>
        </w:trPr>
        <w:tc>
          <w:tcPr>
            <w:tcW w:w="1568"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项目资金</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（万元）</w:t>
            </w: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执行率</w:t>
            </w: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tblPrEx>
          <w:tblCellMar>
            <w:top w:w="0" w:type="dxa"/>
            <w:left w:w="108" w:type="dxa"/>
            <w:bottom w:w="0" w:type="dxa"/>
            <w:right w:w="108" w:type="dxa"/>
          </w:tblCellMar>
        </w:tblPrEx>
        <w:trPr>
          <w:trHeight w:val="300" w:hRule="exact"/>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年度资金总额</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402.17</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402.17</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390</w:t>
            </w: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97%</w:t>
            </w: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9.7</w:t>
            </w:r>
          </w:p>
        </w:tc>
      </w:tr>
      <w:tr>
        <w:tblPrEx>
          <w:tblCellMar>
            <w:top w:w="0" w:type="dxa"/>
            <w:left w:w="108" w:type="dxa"/>
            <w:bottom w:w="0" w:type="dxa"/>
            <w:right w:w="108" w:type="dxa"/>
          </w:tblCellMar>
        </w:tblPrEx>
        <w:trPr>
          <w:trHeight w:val="265" w:hRule="exact"/>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其中：当年财政拨款</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402.17</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402.17</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390</w:t>
            </w: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97%</w:t>
            </w: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上年结转资金</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其他资金</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trPr>
        <w:tc>
          <w:tcPr>
            <w:tcW w:w="588"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tcW w:w="5090"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tcW w:w="3402"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tblPrEx>
          <w:tblCellMar>
            <w:top w:w="0" w:type="dxa"/>
            <w:left w:w="108" w:type="dxa"/>
            <w:bottom w:w="0" w:type="dxa"/>
            <w:right w:w="108" w:type="dxa"/>
          </w:tblCellMar>
        </w:tblPrEx>
        <w:trPr>
          <w:trHeight w:val="1805" w:hRule="exact"/>
        </w:trPr>
        <w:tc>
          <w:tcPr>
            <w:tcW w:w="588"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090" w:type="dxa"/>
            <w:gridSpan w:val="7"/>
            <w:tcBorders>
              <w:top w:val="single" w:color="auto" w:sz="4" w:space="0"/>
              <w:left w:val="nil"/>
              <w:bottom w:val="single" w:color="auto" w:sz="4" w:space="0"/>
              <w:right w:val="single" w:color="auto" w:sz="4" w:space="0"/>
            </w:tcBorders>
            <w:noWrap w:val="0"/>
            <w:vAlign w:val="center"/>
          </w:tcPr>
          <w:p>
            <w:pPr>
              <w:widowControl/>
              <w:spacing w:line="240" w:lineRule="auto"/>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根据中央职称改革领导小组关于转发财政部《会计专业职务试行条例》及《实施意见》的通知组织全国会计专业技术资格初中级考试及全市会计人员业务培训。</w:t>
            </w:r>
          </w:p>
          <w:p>
            <w:pPr>
              <w:widowControl/>
              <w:spacing w:line="240" w:lineRule="auto"/>
              <w:jc w:val="left"/>
              <w:rPr>
                <w:rFonts w:hint="eastAsia" w:ascii="宋体" w:hAnsi="宋体" w:eastAsia="宋体" w:cs="宋体"/>
                <w:kern w:val="0"/>
                <w:sz w:val="13"/>
                <w:szCs w:val="13"/>
                <w:lang w:eastAsia="zh-CN"/>
              </w:rPr>
            </w:pPr>
            <w:r>
              <w:rPr>
                <w:rFonts w:hint="eastAsia" w:ascii="宋体" w:hAnsi="宋体" w:eastAsia="宋体" w:cs="宋体"/>
                <w:kern w:val="0"/>
                <w:sz w:val="18"/>
                <w:szCs w:val="18"/>
                <w:lang w:eastAsia="zh-CN"/>
              </w:rPr>
              <w:t>对市直行政事业单位申报的资产核实资料，根据资产管理有关规定，按申报项目和所提供的外部证明材料进行审核，并提出核实意见，按审批权限报送审批。</w:t>
            </w:r>
          </w:p>
        </w:tc>
        <w:tc>
          <w:tcPr>
            <w:tcW w:w="3402"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按时组织初中级会计师资格考试</w:t>
            </w:r>
          </w:p>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行政事业单位产权年检</w:t>
            </w:r>
          </w:p>
        </w:tc>
      </w:tr>
      <w:tr>
        <w:tblPrEx>
          <w:tblCellMar>
            <w:top w:w="0" w:type="dxa"/>
            <w:left w:w="108" w:type="dxa"/>
            <w:bottom w:w="0" w:type="dxa"/>
            <w:right w:w="108" w:type="dxa"/>
          </w:tblCellMar>
        </w:tblPrEx>
        <w:trPr>
          <w:trHeight w:val="533" w:hRule="exact"/>
        </w:trPr>
        <w:tc>
          <w:tcPr>
            <w:tcW w:w="588" w:type="dxa"/>
            <w:vMerge w:val="restart"/>
            <w:tcBorders>
              <w:top w:val="nil"/>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绩</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效</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指</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标</w:t>
            </w:r>
          </w:p>
        </w:tc>
        <w:tc>
          <w:tcPr>
            <w:tcW w:w="9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一级指标</w:t>
            </w:r>
          </w:p>
        </w:tc>
        <w:tc>
          <w:tcPr>
            <w:tcW w:w="111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二级指标</w:t>
            </w: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三级指标</w:t>
            </w: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年度</w:t>
            </w:r>
          </w:p>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指标值</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实际</w:t>
            </w:r>
          </w:p>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完成值</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分值</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得分</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偏差原因分析及改进措施</w:t>
            </w:r>
          </w:p>
        </w:tc>
      </w:tr>
      <w:tr>
        <w:tblPrEx>
          <w:tblCellMar>
            <w:top w:w="0" w:type="dxa"/>
            <w:left w:w="108" w:type="dxa"/>
            <w:bottom w:w="0" w:type="dxa"/>
            <w:right w:w="108" w:type="dxa"/>
          </w:tblCellMar>
        </w:tblPrEx>
        <w:trPr>
          <w:trHeight w:val="387"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产出指标</w:t>
            </w: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数量指标</w:t>
            </w: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组织初中级会计考试</w:t>
            </w: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2次</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2次</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9</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9</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1"/>
                <w:szCs w:val="11"/>
              </w:rPr>
            </w:pPr>
          </w:p>
        </w:tc>
      </w:tr>
      <w:tr>
        <w:tblPrEx>
          <w:tblCellMar>
            <w:top w:w="0" w:type="dxa"/>
            <w:left w:w="108" w:type="dxa"/>
            <w:bottom w:w="0" w:type="dxa"/>
            <w:right w:w="108" w:type="dxa"/>
          </w:tblCellMar>
        </w:tblPrEx>
        <w:trPr>
          <w:trHeight w:val="399"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行政事业单位产权年检</w:t>
            </w: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1次</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1次</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9</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9</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r>
      <w:tr>
        <w:tblPrEx>
          <w:tblCellMar>
            <w:top w:w="0" w:type="dxa"/>
            <w:left w:w="108" w:type="dxa"/>
            <w:bottom w:w="0" w:type="dxa"/>
            <w:right w:w="108" w:type="dxa"/>
          </w:tblCellMar>
        </w:tblPrEx>
        <w:trPr>
          <w:trHeight w:val="525"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组织注册会计师职业资格考试</w:t>
            </w: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1次</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1次</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8</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8</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质量指标</w:t>
            </w: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考试安排合理性</w:t>
            </w: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合理</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合理</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8</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8</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eastAsia="zh-CN"/>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lang w:val="en-US" w:eastAsia="zh-CN" w:bidi="ar-SA"/>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1"/>
                <w:szCs w:val="11"/>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lang w:val="en-US" w:eastAsia="zh-CN" w:bidi="ar-SA"/>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r>
      <w:tr>
        <w:tblPrEx>
          <w:tblCellMar>
            <w:top w:w="0" w:type="dxa"/>
            <w:left w:w="108" w:type="dxa"/>
            <w:bottom w:w="0" w:type="dxa"/>
            <w:right w:w="108" w:type="dxa"/>
          </w:tblCellMar>
        </w:tblPrEx>
        <w:trPr>
          <w:trHeight w:val="399"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时效指标</w:t>
            </w: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考试周期</w:t>
            </w: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1月-12月</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1月-12月</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8</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8</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lang w:val="en-US" w:eastAsia="zh-CN" w:bidi="ar-SA"/>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lang w:val="en-US" w:eastAsia="zh-CN" w:bidi="ar-SA"/>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6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成本指标</w:t>
            </w: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总成本控制</w:t>
            </w: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402.17万元</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390万元</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8</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8</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效益指标</w:t>
            </w: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经济效益</w:t>
            </w:r>
          </w:p>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指标</w:t>
            </w: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7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社会效益</w:t>
            </w:r>
          </w:p>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指标</w:t>
            </w: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保障工作顺利完成</w:t>
            </w: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保障</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保障</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30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30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eastAsia="zh-CN"/>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ab/>
            </w:r>
            <w:r>
              <w:rPr>
                <w:rFonts w:hint="eastAsia" w:ascii="宋体" w:hAnsi="宋体" w:eastAsia="宋体" w:cs="宋体"/>
                <w:kern w:val="0"/>
                <w:sz w:val="18"/>
                <w:szCs w:val="18"/>
              </w:rPr>
              <w:t>确保监事履行驻村干部职责</w:t>
            </w:r>
            <w:r>
              <w:rPr>
                <w:rFonts w:hint="eastAsia" w:ascii="宋体" w:hAnsi="宋体" w:eastAsia="宋体" w:cs="宋体"/>
                <w:kern w:val="0"/>
                <w:sz w:val="18"/>
                <w:szCs w:val="18"/>
              </w:rPr>
              <w:tab/>
            </w:r>
            <w:r>
              <w:rPr>
                <w:rFonts w:hint="eastAsia" w:ascii="宋体" w:hAnsi="宋体" w:eastAsia="宋体" w:cs="宋体"/>
                <w:kern w:val="0"/>
                <w:sz w:val="18"/>
                <w:szCs w:val="18"/>
              </w:rPr>
              <w:t>确保监事履行驻村干部职责</w:t>
            </w: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生态效益</w:t>
            </w:r>
          </w:p>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指标</w:t>
            </w: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可持续影响指标</w:t>
            </w: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87"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nil"/>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满意度</w:t>
            </w:r>
          </w:p>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指标</w:t>
            </w: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r>
              <w:rPr>
                <w:rFonts w:hint="eastAsia" w:ascii="宋体" w:hAnsi="宋体" w:eastAsia="宋体" w:cs="宋体"/>
                <w:kern w:val="0"/>
                <w:sz w:val="15"/>
                <w:szCs w:val="15"/>
              </w:rPr>
              <w:t>服务对象满意度指标</w:t>
            </w: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考生满意度</w:t>
            </w: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95%</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95%</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eastAsia="zh-CN"/>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c>
          <w:tcPr>
            <w:tcW w:w="221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1"/>
                <w:szCs w:val="11"/>
              </w:rPr>
            </w:pPr>
          </w:p>
        </w:tc>
        <w:tc>
          <w:tcPr>
            <w:tcW w:w="7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1"/>
                <w:szCs w:val="11"/>
              </w:rPr>
            </w:pPr>
          </w:p>
        </w:tc>
      </w:tr>
      <w:tr>
        <w:tblPrEx>
          <w:tblCellMar>
            <w:top w:w="0" w:type="dxa"/>
            <w:left w:w="108" w:type="dxa"/>
            <w:bottom w:w="0" w:type="dxa"/>
            <w:right w:w="108" w:type="dxa"/>
          </w:tblCellMar>
        </w:tblPrEx>
        <w:trPr>
          <w:trHeight w:val="300" w:hRule="exact"/>
        </w:trPr>
        <w:tc>
          <w:tcPr>
            <w:tcW w:w="6529" w:type="dxa"/>
            <w:gridSpan w:val="9"/>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color w:val="000000"/>
                <w:kern w:val="0"/>
                <w:sz w:val="15"/>
                <w:szCs w:val="15"/>
              </w:rPr>
            </w:pPr>
            <w:r>
              <w:rPr>
                <w:rFonts w:hint="eastAsia" w:ascii="宋体" w:hAnsi="宋体" w:eastAsia="宋体" w:cs="宋体"/>
                <w:color w:val="000000"/>
                <w:kern w:val="0"/>
                <w:sz w:val="15"/>
                <w:szCs w:val="15"/>
              </w:rPr>
              <w:t>总分</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color w:val="000000"/>
                <w:kern w:val="0"/>
                <w:sz w:val="15"/>
                <w:szCs w:val="15"/>
              </w:rPr>
            </w:pPr>
            <w:r>
              <w:rPr>
                <w:rFonts w:hint="eastAsia" w:ascii="宋体" w:hAnsi="宋体" w:eastAsia="宋体" w:cs="宋体"/>
                <w:color w:val="000000"/>
                <w:kern w:val="0"/>
                <w:sz w:val="15"/>
                <w:szCs w:val="15"/>
              </w:rPr>
              <w:t>100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color w:val="000000"/>
                <w:kern w:val="0"/>
                <w:sz w:val="15"/>
                <w:szCs w:val="15"/>
                <w:lang w:val="en-US" w:eastAsia="zh-CN"/>
              </w:rPr>
            </w:pPr>
            <w:r>
              <w:rPr>
                <w:rFonts w:hint="eastAsia" w:ascii="宋体" w:hAnsi="宋体" w:eastAsia="宋体" w:cs="宋体"/>
                <w:color w:val="000000"/>
                <w:kern w:val="0"/>
                <w:sz w:val="15"/>
                <w:szCs w:val="15"/>
                <w:lang w:val="en-US" w:eastAsia="zh-CN"/>
              </w:rPr>
              <w:t>99.7</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5"/>
                <w:szCs w:val="15"/>
              </w:rPr>
            </w:pPr>
          </w:p>
        </w:tc>
      </w:tr>
      <w:tr>
        <w:tblPrEx>
          <w:tblCellMar>
            <w:top w:w="0" w:type="dxa"/>
            <w:left w:w="108" w:type="dxa"/>
            <w:bottom w:w="0" w:type="dxa"/>
            <w:right w:w="108" w:type="dxa"/>
          </w:tblCellMar>
        </w:tblPrEx>
        <w:trPr>
          <w:trHeight w:val="1190" w:hRule="atLeast"/>
        </w:trPr>
        <w:tc>
          <w:tcPr>
            <w:tcW w:w="588"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项目绩效分析</w:t>
            </w:r>
          </w:p>
        </w:tc>
        <w:tc>
          <w:tcPr>
            <w:tcW w:w="1046"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自评结果分析</w:t>
            </w:r>
          </w:p>
        </w:tc>
        <w:tc>
          <w:tcPr>
            <w:tcW w:w="10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项目实施和预算执行情况及分析</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default" w:ascii="宋体" w:hAnsi="宋体" w:eastAsia="宋体" w:cs="宋体"/>
                <w:kern w:val="0"/>
                <w:sz w:val="18"/>
                <w:szCs w:val="18"/>
                <w:lang w:val="en-US" w:eastAsia="zh-CN"/>
              </w:rPr>
              <w:t>J公益二类事业单位政府购买服务项目，年初预算402.17万元，执行数390万元，得分9.7分。</w:t>
            </w:r>
          </w:p>
        </w:tc>
      </w:tr>
      <w:tr>
        <w:tblPrEx>
          <w:tblCellMar>
            <w:top w:w="0" w:type="dxa"/>
            <w:left w:w="108" w:type="dxa"/>
            <w:bottom w:w="0" w:type="dxa"/>
            <w:right w:w="108" w:type="dxa"/>
          </w:tblCellMar>
        </w:tblPrEx>
        <w:trPr>
          <w:trHeight w:val="1045" w:hRule="atLeast"/>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p>
        </w:tc>
        <w:tc>
          <w:tcPr>
            <w:tcW w:w="10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产出情况及分析</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J公益二类事业单位政府购买服务项目，产出指标分析结果如下：数量指标，</w:t>
            </w:r>
            <w:r>
              <w:rPr>
                <w:rFonts w:hint="eastAsia" w:ascii="宋体" w:hAnsi="宋体" w:eastAsia="宋体" w:cs="宋体"/>
                <w:color w:val="000000"/>
                <w:kern w:val="0"/>
                <w:sz w:val="18"/>
                <w:szCs w:val="18"/>
                <w:lang w:eastAsia="zh-CN"/>
              </w:rPr>
              <w:t>组织初中级会计考试</w:t>
            </w:r>
            <w:r>
              <w:rPr>
                <w:rFonts w:hint="eastAsia" w:ascii="宋体" w:hAnsi="宋体" w:eastAsia="宋体" w:cs="宋体"/>
                <w:color w:val="000000"/>
                <w:kern w:val="0"/>
                <w:sz w:val="18"/>
                <w:szCs w:val="18"/>
                <w:lang w:val="en-US" w:eastAsia="zh-CN"/>
              </w:rPr>
              <w:t>2次；质量指标，培训人员合格率100%；时效指标，项目时间1月-12月；成本指标不超预算。得分50分。</w:t>
            </w:r>
          </w:p>
        </w:tc>
      </w:tr>
      <w:tr>
        <w:tblPrEx>
          <w:tblCellMar>
            <w:top w:w="0" w:type="dxa"/>
            <w:left w:w="108" w:type="dxa"/>
            <w:bottom w:w="0" w:type="dxa"/>
            <w:right w:w="108" w:type="dxa"/>
          </w:tblCellMar>
        </w:tblPrEx>
        <w:trPr>
          <w:trHeight w:val="1100" w:hRule="atLeast"/>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p>
        </w:tc>
        <w:tc>
          <w:tcPr>
            <w:tcW w:w="10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效益情况及分析</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J公益二类事业单位政府购买服务项目，效益指标分析结果如下：保障工作正常开展。得分30分。</w:t>
            </w:r>
          </w:p>
        </w:tc>
      </w:tr>
      <w:tr>
        <w:tblPrEx>
          <w:tblCellMar>
            <w:top w:w="0" w:type="dxa"/>
            <w:left w:w="108" w:type="dxa"/>
            <w:bottom w:w="0" w:type="dxa"/>
            <w:right w:w="108" w:type="dxa"/>
          </w:tblCellMar>
        </w:tblPrEx>
        <w:trPr>
          <w:trHeight w:val="890" w:hRule="atLeast"/>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p>
        </w:tc>
        <w:tc>
          <w:tcPr>
            <w:tcW w:w="10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满意度情况及分析</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color w:val="000000"/>
                <w:kern w:val="0"/>
                <w:sz w:val="18"/>
                <w:szCs w:val="18"/>
                <w:lang w:val="en-US" w:eastAsia="zh-CN"/>
              </w:rPr>
            </w:pPr>
            <w:r>
              <w:rPr>
                <w:rFonts w:hint="default" w:ascii="宋体" w:hAnsi="宋体" w:eastAsia="宋体" w:cs="宋体"/>
                <w:color w:val="000000"/>
                <w:kern w:val="0"/>
                <w:sz w:val="18"/>
                <w:szCs w:val="18"/>
                <w:lang w:val="en-US" w:eastAsia="zh-CN"/>
              </w:rPr>
              <w:t>J公益二类事业单位政府购买服务项目，满意度指标分析结果如下：考生满意度90%。得分10分。</w:t>
            </w:r>
          </w:p>
        </w:tc>
      </w:tr>
      <w:tr>
        <w:tblPrEx>
          <w:tblCellMar>
            <w:top w:w="0" w:type="dxa"/>
            <w:left w:w="108" w:type="dxa"/>
            <w:bottom w:w="0" w:type="dxa"/>
            <w:right w:w="108" w:type="dxa"/>
          </w:tblCellMar>
        </w:tblPrEx>
        <w:trPr>
          <w:trHeight w:val="2240" w:hRule="exact"/>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主要经验做法</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加强财务规范化管理和绩效业务的学习，增强内部预算管理意识，提高预算编制和绩效评估的水平。</w:t>
            </w:r>
          </w:p>
        </w:tc>
      </w:tr>
      <w:tr>
        <w:tblPrEx>
          <w:tblCellMar>
            <w:top w:w="0" w:type="dxa"/>
            <w:left w:w="108" w:type="dxa"/>
            <w:bottom w:w="0" w:type="dxa"/>
            <w:right w:w="108" w:type="dxa"/>
          </w:tblCellMar>
        </w:tblPrEx>
        <w:trPr>
          <w:trHeight w:val="2767" w:hRule="exact"/>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项目管理中存在的</w:t>
            </w:r>
          </w:p>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主要问题及原因分析</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绩效目标设置有待提高。在今后的预算编制工作中，绩效目标的设置需更加科学化、精细化、合理化。</w:t>
            </w:r>
          </w:p>
        </w:tc>
      </w:tr>
      <w:tr>
        <w:tblPrEx>
          <w:tblCellMar>
            <w:top w:w="0" w:type="dxa"/>
            <w:left w:w="108" w:type="dxa"/>
            <w:bottom w:w="0" w:type="dxa"/>
            <w:right w:w="108" w:type="dxa"/>
          </w:tblCellMar>
        </w:tblPrEx>
        <w:trPr>
          <w:trHeight w:val="2497" w:hRule="exact"/>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下一步改进措施及</w:t>
            </w:r>
          </w:p>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管理建议</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我单位通过对项目支出绩效和预算项目资金全面自评工作，对财政资金预算执行情况、资金使用情况进行了全面分析，总结预算资金管理经验，找准存在的问题，为进一步加强和规范项目和资金管理，完善项目和资金管理办法，指导项目预算编制，优化支出结构提供决策参考和依据。</w:t>
            </w:r>
          </w:p>
        </w:tc>
      </w:tr>
    </w:tbl>
    <w:p/>
    <w:p/>
    <w:tbl>
      <w:tblPr>
        <w:tblStyle w:val="4"/>
        <w:tblW w:w="9080" w:type="dxa"/>
        <w:jc w:val="center"/>
        <w:tblLayout w:type="fixed"/>
        <w:tblCellMar>
          <w:top w:w="0" w:type="dxa"/>
          <w:left w:w="108" w:type="dxa"/>
          <w:bottom w:w="0" w:type="dxa"/>
          <w:right w:w="108" w:type="dxa"/>
        </w:tblCellMar>
      </w:tblPr>
      <w:tblGrid>
        <w:gridCol w:w="588"/>
        <w:gridCol w:w="980"/>
        <w:gridCol w:w="66"/>
        <w:gridCol w:w="1046"/>
        <w:gridCol w:w="730"/>
        <w:gridCol w:w="1134"/>
        <w:gridCol w:w="284"/>
        <w:gridCol w:w="850"/>
        <w:gridCol w:w="851"/>
        <w:gridCol w:w="283"/>
        <w:gridCol w:w="284"/>
        <w:gridCol w:w="425"/>
        <w:gridCol w:w="237"/>
        <w:gridCol w:w="614"/>
        <w:gridCol w:w="708"/>
      </w:tblGrid>
      <w:tr>
        <w:tblPrEx>
          <w:tblCellMar>
            <w:top w:w="0" w:type="dxa"/>
            <w:left w:w="108" w:type="dxa"/>
            <w:bottom w:w="0" w:type="dxa"/>
            <w:right w:w="108" w:type="dxa"/>
          </w:tblCellMar>
        </w:tblPrEx>
        <w:trPr>
          <w:trHeight w:val="529" w:hRule="exact"/>
          <w:jc w:val="center"/>
        </w:trPr>
        <w:tc>
          <w:tcPr>
            <w:tcW w:w="9080" w:type="dxa"/>
            <w:gridSpan w:val="15"/>
            <w:tcBorders>
              <w:top w:val="nil"/>
              <w:left w:val="nil"/>
              <w:bottom w:val="nil"/>
              <w:right w:val="nil"/>
            </w:tcBorders>
            <w:noWrap w:val="0"/>
            <w:vAlign w:val="center"/>
          </w:tcPr>
          <w:p>
            <w:pPr>
              <w:widowControl/>
              <w:spacing w:line="320" w:lineRule="exact"/>
              <w:jc w:val="center"/>
              <w:rPr>
                <w:rFonts w:ascii="宋体" w:hAnsi="宋体" w:eastAsia="宋体" w:cs="宋体"/>
                <w:b/>
                <w:bCs/>
                <w:kern w:val="0"/>
                <w:sz w:val="32"/>
                <w:szCs w:val="32"/>
              </w:rPr>
            </w:pPr>
            <w:r>
              <w:rPr>
                <w:rFonts w:hint="eastAsia" w:ascii="华文中宋" w:hAnsi="华文中宋" w:eastAsia="华文中宋" w:cs="华文中宋"/>
                <w:b/>
                <w:bCs/>
                <w:kern w:val="0"/>
                <w:sz w:val="32"/>
                <w:szCs w:val="32"/>
              </w:rPr>
              <w:t>项目支出绩效自评表</w:t>
            </w:r>
          </w:p>
        </w:tc>
      </w:tr>
      <w:tr>
        <w:tblPrEx>
          <w:tblCellMar>
            <w:top w:w="0" w:type="dxa"/>
            <w:left w:w="108" w:type="dxa"/>
            <w:bottom w:w="0" w:type="dxa"/>
            <w:right w:w="108" w:type="dxa"/>
          </w:tblCellMar>
        </w:tblPrEx>
        <w:trPr>
          <w:trHeight w:val="201" w:hRule="atLeast"/>
          <w:jc w:val="center"/>
        </w:trPr>
        <w:tc>
          <w:tcPr>
            <w:tcW w:w="9080" w:type="dxa"/>
            <w:gridSpan w:val="15"/>
            <w:tcBorders>
              <w:top w:val="nil"/>
              <w:left w:val="nil"/>
              <w:bottom w:val="nil"/>
              <w:right w:val="nil"/>
            </w:tcBorders>
            <w:noWrap w:val="0"/>
            <w:vAlign w:val="top"/>
          </w:tcPr>
          <w:p>
            <w:pPr>
              <w:widowControl/>
              <w:rPr>
                <w:rFonts w:ascii="宋体" w:hAnsi="宋体" w:eastAsia="宋体" w:cs="宋体"/>
                <w:kern w:val="0"/>
                <w:sz w:val="22"/>
                <w:szCs w:val="22"/>
              </w:rPr>
            </w:pPr>
            <w:r>
              <w:rPr>
                <w:rFonts w:hint="eastAsia" w:ascii="宋体" w:hAnsi="宋体" w:eastAsia="宋体" w:cs="宋体"/>
                <w:kern w:val="0"/>
                <w:sz w:val="22"/>
                <w:szCs w:val="22"/>
              </w:rPr>
              <w:t>填列单位（公章）：                （  2021 年度）</w:t>
            </w:r>
          </w:p>
        </w:tc>
      </w:tr>
      <w:tr>
        <w:tblPrEx>
          <w:tblCellMar>
            <w:top w:w="0" w:type="dxa"/>
            <w:left w:w="108" w:type="dxa"/>
            <w:bottom w:w="0" w:type="dxa"/>
            <w:right w:w="108" w:type="dxa"/>
          </w:tblCellMar>
        </w:tblPrEx>
        <w:trPr>
          <w:trHeight w:val="32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tcW w:w="7512" w:type="dxa"/>
            <w:gridSpan w:val="1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J财政预算管理一体化</w:t>
            </w:r>
          </w:p>
        </w:tc>
      </w:tr>
      <w:tr>
        <w:tblPrEx>
          <w:tblCellMar>
            <w:top w:w="0" w:type="dxa"/>
            <w:left w:w="108" w:type="dxa"/>
            <w:bottom w:w="0" w:type="dxa"/>
            <w:right w:w="108" w:type="dxa"/>
          </w:tblCellMar>
        </w:tblPrEx>
        <w:trPr>
          <w:trHeight w:val="38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tcW w:w="4110" w:type="dxa"/>
            <w:gridSpan w:val="6"/>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大同市财政局</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tcW w:w="2268" w:type="dxa"/>
            <w:gridSpan w:val="5"/>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大同市财政信息中心</w:t>
            </w:r>
          </w:p>
        </w:tc>
      </w:tr>
      <w:tr>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项目资金</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（万元）</w:t>
            </w: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执行率</w:t>
            </w: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年度资金总额</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color w:val="333333"/>
                <w:sz w:val="18"/>
                <w:szCs w:val="18"/>
                <w:shd w:val="clear" w:color="auto" w:fill="FFFFFF"/>
                <w:lang w:val="en-US" w:eastAsia="zh-CN"/>
              </w:rPr>
              <w:t>100</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color w:val="333333"/>
                <w:sz w:val="18"/>
                <w:szCs w:val="18"/>
                <w:shd w:val="clear" w:color="auto" w:fill="FFFFFF"/>
                <w:lang w:val="en-US" w:eastAsia="zh-CN"/>
              </w:rPr>
              <w:t>100</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rPr>
            </w:pPr>
            <w:r>
              <w:rPr>
                <w:rFonts w:hint="eastAsia" w:ascii="宋体" w:hAnsi="宋体" w:eastAsia="宋体" w:cs="宋体"/>
                <w:color w:val="333333"/>
                <w:sz w:val="18"/>
                <w:szCs w:val="18"/>
                <w:shd w:val="clear" w:color="auto" w:fill="FFFFFF"/>
              </w:rPr>
              <w:t>54.18</w:t>
            </w: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lang w:val="en-US" w:eastAsia="zh-CN"/>
              </w:rPr>
              <w:t>54</w:t>
            </w:r>
            <w:r>
              <w:rPr>
                <w:rFonts w:hint="eastAsia" w:ascii="宋体" w:hAnsi="宋体" w:eastAsia="宋体" w:cs="宋体"/>
                <w:kern w:val="0"/>
                <w:sz w:val="18"/>
                <w:szCs w:val="18"/>
              </w:rPr>
              <w:t>%</w:t>
            </w: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5.4</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其中：当年财政拨款</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color w:val="333333"/>
                <w:sz w:val="18"/>
                <w:szCs w:val="18"/>
                <w:shd w:val="clear" w:color="auto" w:fill="FFFFFF"/>
                <w:lang w:val="en-US" w:eastAsia="zh-CN"/>
              </w:rPr>
              <w:t>100</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color w:val="333333"/>
                <w:sz w:val="18"/>
                <w:szCs w:val="18"/>
                <w:shd w:val="clear" w:color="auto" w:fill="FFFFFF"/>
                <w:lang w:val="en-US" w:eastAsia="zh-CN"/>
              </w:rPr>
              <w:t>100</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rPr>
            </w:pPr>
            <w:r>
              <w:rPr>
                <w:rFonts w:hint="eastAsia" w:ascii="宋体" w:hAnsi="宋体" w:eastAsia="宋体" w:cs="宋体"/>
                <w:color w:val="333333"/>
                <w:sz w:val="18"/>
                <w:szCs w:val="18"/>
                <w:shd w:val="clear" w:color="auto" w:fill="FFFFFF"/>
              </w:rPr>
              <w:t>54.18</w:t>
            </w: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lang w:val="en-US" w:eastAsia="zh-CN"/>
              </w:rPr>
              <w:t>54</w:t>
            </w:r>
            <w:r>
              <w:rPr>
                <w:rFonts w:hint="eastAsia" w:ascii="宋体" w:hAnsi="宋体" w:eastAsia="宋体" w:cs="宋体"/>
                <w:kern w:val="0"/>
                <w:sz w:val="18"/>
                <w:szCs w:val="18"/>
              </w:rPr>
              <w:t>%</w:t>
            </w: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上年结转资金</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其他资金</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tcW w:w="5090"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tcW w:w="3402"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tblPrEx>
          <w:tblCellMar>
            <w:top w:w="0" w:type="dxa"/>
            <w:left w:w="108" w:type="dxa"/>
            <w:bottom w:w="0" w:type="dxa"/>
            <w:right w:w="108" w:type="dxa"/>
          </w:tblCellMar>
        </w:tblPrEx>
        <w:trPr>
          <w:trHeight w:val="2443" w:hRule="exact"/>
          <w:jc w:val="center"/>
        </w:trPr>
        <w:tc>
          <w:tcPr>
            <w:tcW w:w="588"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090"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按照</w:t>
            </w:r>
            <w:r>
              <w:rPr>
                <w:rFonts w:hint="eastAsia" w:ascii="宋体" w:hAnsi="宋体" w:eastAsia="宋体" w:cs="宋体"/>
                <w:kern w:val="0"/>
                <w:sz w:val="18"/>
                <w:szCs w:val="18"/>
                <w:lang w:eastAsia="zh-CN"/>
              </w:rPr>
              <w:t>省厅</w:t>
            </w:r>
            <w:r>
              <w:rPr>
                <w:rFonts w:hint="eastAsia" w:ascii="宋体" w:hAnsi="宋体" w:eastAsia="宋体" w:cs="宋体"/>
                <w:kern w:val="0"/>
                <w:sz w:val="18"/>
                <w:szCs w:val="18"/>
              </w:rPr>
              <w:t>要求和部署，完成大同市预算管理一体化的实施工作，确保和省厅数据一致。</w:t>
            </w:r>
          </w:p>
        </w:tc>
        <w:tc>
          <w:tcPr>
            <w:tcW w:w="3402"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按照省厅预算管理一体化领导小组办公室《关于做好山西省财政核心业务一体化系统实现推广实施工作的通知》（晋财预办【2021】4号），省厅采取统招分签的模式，通过竞争性磋商确定一体化实施中标商和合同相关内容。两个中标商分别为北京市太极华青信息系统有限公司、山西九鼎软件工程有限公司。第一包45万元；第二包45.3万元，支付60%，剩余的款项，验收后支付。</w:t>
            </w:r>
          </w:p>
        </w:tc>
      </w:tr>
      <w:tr>
        <w:tblPrEx>
          <w:tblCellMar>
            <w:top w:w="0" w:type="dxa"/>
            <w:left w:w="108" w:type="dxa"/>
            <w:bottom w:w="0" w:type="dxa"/>
            <w:right w:w="108" w:type="dxa"/>
          </w:tblCellMar>
        </w:tblPrEx>
        <w:trPr>
          <w:trHeight w:val="533" w:hRule="exact"/>
          <w:jc w:val="center"/>
        </w:trPr>
        <w:tc>
          <w:tcPr>
            <w:tcW w:w="588"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绩</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效</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指</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标</w:t>
            </w:r>
          </w:p>
        </w:tc>
        <w:tc>
          <w:tcPr>
            <w:tcW w:w="9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W w:w="111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年度</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指标值</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实际</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完成值</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66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tcW w:w="1322"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tblPrEx>
          <w:tblCellMar>
            <w:top w:w="0" w:type="dxa"/>
            <w:left w:w="108" w:type="dxa"/>
            <w:bottom w:w="0" w:type="dxa"/>
            <w:right w:w="108" w:type="dxa"/>
          </w:tblCellMar>
        </w:tblPrEx>
        <w:trPr>
          <w:trHeight w:val="383"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软件供应商家数</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2家</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2家</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66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5</w:t>
            </w:r>
          </w:p>
        </w:tc>
        <w:tc>
          <w:tcPr>
            <w:tcW w:w="1322"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434"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软件功能模块数</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17个</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17个</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66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5</w:t>
            </w:r>
          </w:p>
        </w:tc>
        <w:tc>
          <w:tcPr>
            <w:tcW w:w="1322"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67"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预算单位数</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492家</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492家</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66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5</w:t>
            </w:r>
          </w:p>
        </w:tc>
        <w:tc>
          <w:tcPr>
            <w:tcW w:w="1322"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400"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培训方式</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4种</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4种</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66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5</w:t>
            </w:r>
          </w:p>
        </w:tc>
        <w:tc>
          <w:tcPr>
            <w:tcW w:w="1322"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417"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系统验收合格率</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66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5</w:t>
            </w:r>
          </w:p>
        </w:tc>
        <w:tc>
          <w:tcPr>
            <w:tcW w:w="1322"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433"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软件满足使用程度</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满足</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满足</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66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5</w:t>
            </w:r>
          </w:p>
        </w:tc>
        <w:tc>
          <w:tcPr>
            <w:tcW w:w="1322"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400"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系统故障率</w:t>
            </w:r>
          </w:p>
          <w:p>
            <w:pPr>
              <w:widowControl/>
              <w:spacing w:line="240" w:lineRule="exact"/>
              <w:jc w:val="left"/>
              <w:rPr>
                <w:rFonts w:hint="eastAsia" w:ascii="宋体" w:hAnsi="宋体" w:eastAsia="宋体" w:cs="宋体"/>
                <w:color w:val="000000"/>
                <w:kern w:val="0"/>
                <w:sz w:val="18"/>
                <w:szCs w:val="18"/>
              </w:rPr>
            </w:pP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0.1%</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0.1%</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w:t>
            </w:r>
          </w:p>
        </w:tc>
        <w:tc>
          <w:tcPr>
            <w:tcW w:w="66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4</w:t>
            </w:r>
          </w:p>
        </w:tc>
        <w:tc>
          <w:tcPr>
            <w:tcW w:w="1322"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非正常停机率</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0.1%</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0.1%</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w:t>
            </w:r>
          </w:p>
        </w:tc>
        <w:tc>
          <w:tcPr>
            <w:tcW w:w="66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4</w:t>
            </w:r>
          </w:p>
        </w:tc>
        <w:tc>
          <w:tcPr>
            <w:tcW w:w="1322"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484"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tcW w:w="2148" w:type="dxa"/>
            <w:gridSpan w:val="3"/>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业务处理及时性</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及时</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及时</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w:t>
            </w:r>
          </w:p>
        </w:tc>
        <w:tc>
          <w:tcPr>
            <w:tcW w:w="66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4</w:t>
            </w:r>
          </w:p>
        </w:tc>
        <w:tc>
          <w:tcPr>
            <w:tcW w:w="1322"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421"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系统故障修复响应时间</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1小时</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1小时</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w:t>
            </w:r>
          </w:p>
        </w:tc>
        <w:tc>
          <w:tcPr>
            <w:tcW w:w="66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4</w:t>
            </w:r>
          </w:p>
        </w:tc>
        <w:tc>
          <w:tcPr>
            <w:tcW w:w="1322"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rPr>
            </w:pP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66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lang w:val="en-US" w:eastAsia="zh-CN" w:bidi="ar-SA"/>
              </w:rPr>
            </w:pPr>
          </w:p>
        </w:tc>
        <w:tc>
          <w:tcPr>
            <w:tcW w:w="1322"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25"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推广实施总成本范围</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54.18万元</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54.18万元</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w:t>
            </w:r>
          </w:p>
        </w:tc>
        <w:tc>
          <w:tcPr>
            <w:tcW w:w="66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4</w:t>
            </w:r>
          </w:p>
        </w:tc>
        <w:tc>
          <w:tcPr>
            <w:tcW w:w="1322"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rPr>
            </w:pP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66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322"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rPr>
            </w:pP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66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322"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W w:w="1112" w:type="dxa"/>
            <w:gridSpan w:val="2"/>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经济效益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rPr>
            </w:pP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66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322"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493"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社会效益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bidi="ar"/>
              </w:rPr>
              <w:t>促进财政业务一体化合并</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促进</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促进</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15</w:t>
            </w:r>
          </w:p>
        </w:tc>
        <w:tc>
          <w:tcPr>
            <w:tcW w:w="66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15</w:t>
            </w:r>
          </w:p>
        </w:tc>
        <w:tc>
          <w:tcPr>
            <w:tcW w:w="1322"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271"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rPr>
            </w:pP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66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322"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rPr>
            </w:pP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66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322"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生态效益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不适用</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66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322"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25"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可持续影响指标</w:t>
            </w:r>
          </w:p>
        </w:tc>
        <w:tc>
          <w:tcPr>
            <w:tcW w:w="2148"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系统建设对财政服务质量的促进作用</w:t>
            </w:r>
          </w:p>
          <w:p>
            <w:pPr>
              <w:widowControl/>
              <w:spacing w:line="240" w:lineRule="exact"/>
              <w:jc w:val="left"/>
              <w:rPr>
                <w:rFonts w:hint="eastAsia" w:ascii="宋体" w:hAnsi="宋体" w:eastAsia="宋体" w:cs="宋体"/>
                <w:color w:val="000000"/>
                <w:kern w:val="0"/>
                <w:sz w:val="18"/>
                <w:szCs w:val="18"/>
              </w:rPr>
            </w:pPr>
          </w:p>
        </w:tc>
        <w:tc>
          <w:tcPr>
            <w:tcW w:w="85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促进</w:t>
            </w:r>
          </w:p>
        </w:tc>
        <w:tc>
          <w:tcPr>
            <w:tcW w:w="851"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促进</w:t>
            </w:r>
          </w:p>
        </w:tc>
        <w:tc>
          <w:tcPr>
            <w:tcW w:w="567"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15</w:t>
            </w:r>
          </w:p>
        </w:tc>
        <w:tc>
          <w:tcPr>
            <w:tcW w:w="662"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15</w:t>
            </w:r>
          </w:p>
        </w:tc>
        <w:tc>
          <w:tcPr>
            <w:tcW w:w="1322"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p>
        </w:tc>
        <w:tc>
          <w:tcPr>
            <w:tcW w:w="850" w:type="dxa"/>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662"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322"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66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322"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满意度</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1112"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lang w:eastAsia="zh-CN"/>
              </w:rPr>
              <w:t>用户使用</w:t>
            </w:r>
            <w:r>
              <w:rPr>
                <w:rFonts w:hint="eastAsia" w:ascii="宋体" w:hAnsi="宋体" w:eastAsia="宋体" w:cs="宋体"/>
                <w:color w:val="000000"/>
                <w:kern w:val="0"/>
                <w:sz w:val="18"/>
                <w:szCs w:val="18"/>
              </w:rPr>
              <w:t>满意度</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90%</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90%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66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1322"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435"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val="en-US" w:eastAsia="zh-CN" w:bidi="ar"/>
              </w:rPr>
              <w:t>潜在服务对象满意</w:t>
            </w:r>
            <w:r>
              <w:rPr>
                <w:rFonts w:hint="eastAsia" w:ascii="宋体" w:hAnsi="宋体" w:eastAsia="宋体" w:cs="宋体"/>
                <w:color w:val="000000"/>
                <w:kern w:val="0"/>
                <w:sz w:val="18"/>
                <w:szCs w:val="18"/>
                <w:lang w:eastAsia="zh-CN"/>
              </w:rPr>
              <w:t>度</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rPr>
              <w:t>90%</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rPr>
              <w:t>90%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66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1322"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66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322"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6529" w:type="dxa"/>
            <w:gridSpan w:val="9"/>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66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95.4</w:t>
            </w:r>
          </w:p>
        </w:tc>
        <w:tc>
          <w:tcPr>
            <w:tcW w:w="1322"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1190" w:hRule="atLeast"/>
          <w:jc w:val="center"/>
        </w:trPr>
        <w:tc>
          <w:tcPr>
            <w:tcW w:w="588"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项目绩效分析</w:t>
            </w:r>
          </w:p>
        </w:tc>
        <w:tc>
          <w:tcPr>
            <w:tcW w:w="1046"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自评结果分析</w:t>
            </w:r>
          </w:p>
        </w:tc>
        <w:tc>
          <w:tcPr>
            <w:tcW w:w="10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项目实施和预算执行情况及分析</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rPr>
              <w:t>第一包45万元；第二包45.3万元，支付60%，剩余的款项，验收后支付</w:t>
            </w:r>
            <w:r>
              <w:rPr>
                <w:rFonts w:hint="eastAsia" w:ascii="宋体" w:hAnsi="宋体" w:eastAsia="宋体" w:cs="宋体"/>
                <w:kern w:val="0"/>
                <w:sz w:val="18"/>
                <w:szCs w:val="18"/>
                <w:lang w:eastAsia="zh-CN"/>
              </w:rPr>
              <w:t>。</w:t>
            </w:r>
          </w:p>
        </w:tc>
      </w:tr>
      <w:tr>
        <w:tblPrEx>
          <w:tblCellMar>
            <w:top w:w="0" w:type="dxa"/>
            <w:left w:w="108" w:type="dxa"/>
            <w:bottom w:w="0" w:type="dxa"/>
            <w:right w:w="108" w:type="dxa"/>
          </w:tblCellMar>
        </w:tblPrEx>
        <w:trPr>
          <w:trHeight w:val="1045" w:hRule="atLeas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0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产出情况及分析</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中台、统一门户、基础信息、项目库、预算编制、预算指标、结余资金、预算批复、预算调整和调剂等9个业务功能模块；</w:t>
            </w:r>
          </w:p>
          <w:p>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集中支付、总预算会计、账号管理、缴库与拨款、资金调度、单位会计核算、预算执行动态监控、财税库银恒联等8个业务功能</w:t>
            </w:r>
          </w:p>
          <w:p>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培训方式，四种</w:t>
            </w:r>
          </w:p>
          <w:p>
            <w:pPr>
              <w:widowControl/>
              <w:spacing w:line="240" w:lineRule="exact"/>
              <w:jc w:val="left"/>
              <w:rPr>
                <w:rFonts w:hint="eastAsia" w:ascii="宋体" w:hAnsi="宋体" w:eastAsia="宋体" w:cs="宋体"/>
                <w:color w:val="000000"/>
                <w:kern w:val="0"/>
                <w:sz w:val="18"/>
                <w:szCs w:val="18"/>
              </w:rPr>
            </w:pPr>
            <w:r>
              <w:rPr>
                <w:rFonts w:hint="eastAsia" w:ascii="宋体" w:hAnsi="宋体" w:eastAsia="宋体" w:cs="宋体"/>
                <w:kern w:val="0"/>
                <w:sz w:val="18"/>
                <w:szCs w:val="18"/>
              </w:rPr>
              <w:t>解决相应时间，5分钟，4小时</w:t>
            </w:r>
          </w:p>
        </w:tc>
      </w:tr>
      <w:tr>
        <w:tblPrEx>
          <w:tblCellMar>
            <w:top w:w="0" w:type="dxa"/>
            <w:left w:w="108" w:type="dxa"/>
            <w:bottom w:w="0" w:type="dxa"/>
            <w:right w:w="108" w:type="dxa"/>
          </w:tblCellMar>
        </w:tblPrEx>
        <w:trPr>
          <w:trHeight w:val="1100" w:hRule="atLeas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0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效益情况及分析</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符合要求，各项财政业务一体化部署</w:t>
            </w:r>
          </w:p>
        </w:tc>
      </w:tr>
      <w:tr>
        <w:tblPrEx>
          <w:tblCellMar>
            <w:top w:w="0" w:type="dxa"/>
            <w:left w:w="108" w:type="dxa"/>
            <w:bottom w:w="0" w:type="dxa"/>
            <w:right w:w="108" w:type="dxa"/>
          </w:tblCellMar>
        </w:tblPrEx>
        <w:trPr>
          <w:trHeight w:val="890" w:hRule="atLeas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0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满意度情况及分析</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经过测试，预算单位对一体化的软件的实用性基本满意，用户界面比较友好，操作简单实用。</w:t>
            </w:r>
          </w:p>
        </w:tc>
      </w:tr>
      <w:tr>
        <w:tblPrEx>
          <w:tblCellMar>
            <w:top w:w="0" w:type="dxa"/>
            <w:left w:w="108" w:type="dxa"/>
            <w:bottom w:w="0" w:type="dxa"/>
            <w:right w:w="108" w:type="dxa"/>
          </w:tblCellMar>
        </w:tblPrEx>
        <w:trPr>
          <w:trHeight w:val="2081"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主要经验做法</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kern w:val="0"/>
                <w:sz w:val="18"/>
                <w:szCs w:val="18"/>
              </w:rPr>
            </w:pPr>
            <w:r>
              <w:rPr>
                <w:rFonts w:hint="eastAsia" w:ascii="宋体" w:hAnsi="宋体" w:eastAsia="宋体" w:cs="宋体"/>
                <w:kern w:val="0"/>
                <w:sz w:val="18"/>
                <w:szCs w:val="18"/>
              </w:rPr>
              <w:t>按照省厅预算管理一体化领导小组办公室《关于做好山西省财政核心业务一体化系统实现推广实施工作的通知》（晋财预办【2021】4号），省厅采取统招分签的模式，通过竞争性磋商确定一体化实施中标商和合同相关内容。两个中标商分别为北京市太极华青信息系统有限公司、山西九鼎软件工程有限公司。第一包45万元；第二包45.3万元，支付60%，剩余的款项，验收后支付。</w:t>
            </w:r>
          </w:p>
          <w:p>
            <w:pPr>
              <w:widowControl/>
              <w:spacing w:line="240" w:lineRule="exact"/>
              <w:jc w:val="left"/>
              <w:rPr>
                <w:rFonts w:hint="eastAsia" w:ascii="宋体" w:hAnsi="宋体" w:eastAsia="宋体" w:cs="宋体"/>
                <w:kern w:val="0"/>
                <w:sz w:val="18"/>
                <w:szCs w:val="18"/>
                <w:lang w:eastAsia="zh-CN"/>
              </w:rPr>
            </w:pPr>
            <w:r>
              <w:rPr>
                <w:rFonts w:hint="eastAsia" w:ascii="宋体" w:hAnsi="宋体" w:eastAsia="宋体" w:cs="宋体"/>
                <w:color w:val="000000"/>
                <w:kern w:val="0"/>
                <w:sz w:val="18"/>
                <w:szCs w:val="18"/>
              </w:rPr>
              <w:t>山西省财政核心业务一体化系统市县推广实施项目的升级改造工作由各市财政局统一安排部署，各县区督促相关各方及时进行升级改造、安装实施和联调测试，尽快进入使用阶段。</w:t>
            </w:r>
          </w:p>
        </w:tc>
      </w:tr>
      <w:tr>
        <w:tblPrEx>
          <w:tblCellMar>
            <w:top w:w="0" w:type="dxa"/>
            <w:left w:w="108" w:type="dxa"/>
            <w:bottom w:w="0" w:type="dxa"/>
            <w:right w:w="108" w:type="dxa"/>
          </w:tblCellMar>
        </w:tblPrEx>
        <w:trPr>
          <w:trHeight w:val="2177"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项目管理中存在的</w:t>
            </w:r>
          </w:p>
          <w:p>
            <w:pPr>
              <w:widowControl/>
              <w:spacing w:line="240" w:lineRule="exact"/>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主要问题及原因分析</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项目绩效目标设置有待提高，在今后的预算编制工作中，绩效目标的设置需要更加科学化、精细化、合理化。</w:t>
            </w:r>
          </w:p>
        </w:tc>
      </w:tr>
      <w:tr>
        <w:tblPrEx>
          <w:tblCellMar>
            <w:top w:w="0" w:type="dxa"/>
            <w:left w:w="108" w:type="dxa"/>
            <w:bottom w:w="0" w:type="dxa"/>
            <w:right w:w="108" w:type="dxa"/>
          </w:tblCellMar>
        </w:tblPrEx>
        <w:trPr>
          <w:trHeight w:val="2020"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下一步改进措施及</w:t>
            </w:r>
          </w:p>
          <w:p>
            <w:pPr>
              <w:widowControl/>
              <w:spacing w:line="240" w:lineRule="exact"/>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管理建议</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我单位通过对项目支出绩效和预算项目资金全面自评工作，对财政资金预算执行情况、资金使用情况进行了全面分析，总结预算资金管理经验，找准存在的问题，为进一步加强和规范项目和资金管理，完善项目和资金管理办法，指导项目预算编制，优化支出结构提供决策参考和依据。</w:t>
            </w:r>
          </w:p>
        </w:tc>
      </w:tr>
    </w:tbl>
    <w:p>
      <w:bookmarkStart w:id="0" w:name="_GoBack"/>
      <w:bookmarkEnd w:id="0"/>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zNzk4OWMxZDczOTI2MmFmNjMyYWZlZDJlOWI3NGMifQ=="/>
  </w:docVars>
  <w:rsids>
    <w:rsidRoot w:val="25C7341B"/>
    <w:rsid w:val="25C734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2022-08-09T02:16:00Z</dcterms:created>
  <dc:creator>yunwei</dc:creator>
  <cp:lastModifiedBy>yunwei</cp:lastModifiedBy>
  <dcterms:modified xsi:type="dcterms:W3CDTF">2022-08-09T02:17:12Z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3CF5F7D9034A4516813910D9DF99BA99</vt:lpwstr>
  </property>
</Properties>
</file>