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142"/>
        <w:gridCol w:w="709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2"/>
                <w:szCs w:val="32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大同市博物馆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" w:eastAsia="zh-CN"/>
              </w:rPr>
              <w:t>全省联展巡展数字化展示项目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大同市文物局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大同市博物馆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84.3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84.3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83.3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100％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84.3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84.3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83.3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打破联展巡展的时效性，建设基于互联网环境的虚拟化“云展览”，集中整合联展巡展内容IP，实现跨馆际的线上展览交流互动，进一步提升山西省文博行业的教育意义与公共文化服务能力。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eastAsia="zh-CN"/>
              </w:rPr>
              <w:t>采集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13个展览</w:t>
            </w:r>
            <w:r>
              <w:rPr>
                <w:rFonts w:hint="default" w:ascii="宋体" w:hAnsi="宋体" w:eastAsia="宋体" w:cs="宋体"/>
                <w:kern w:val="0"/>
                <w:sz w:val="13"/>
                <w:szCs w:val="13"/>
                <w:lang w:val="en" w:eastAsia="zh-CN"/>
              </w:rPr>
              <w:t>在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省文物局网站进行云展示。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14个省内博物馆的巡展、展览上线工作，供游客能够进行数字化展览欣赏。2021年10月27日，项目进行</w:t>
            </w:r>
          </w:p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专家验收；2021年11月15日，省文物局下达结项验收批复。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15"/>
                <w:szCs w:val="15"/>
                <w:lang w:val="en" w:eastAsia="zh-CN"/>
              </w:rPr>
              <w:t>省内10个展览项目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100％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现场数据采集、拍摄清晰度高，图像处理优化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100％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实现全景漫游、虚拟全景交互、地图线路导航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100％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/>
              </w:rPr>
              <w:t>具备语音讲解、全屏展示、定位、文物展示等功能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100％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"/>
              </w:rPr>
              <w:t>项目实施周期1年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  <w:t>1年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" w:eastAsia="zh-CN"/>
              </w:rPr>
              <w:t>完成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完成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5"/>
                <w:szCs w:val="15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成本节约率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0％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5"/>
                <w:szCs w:val="15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通过线上展览，吸引游人入晋，带动旅游发展，促进文旅融合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提供服务、促进融合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促进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提升文物大省知名度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提升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" w:eastAsia="zh-CN"/>
              </w:rPr>
              <w:t>提升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丰富大众业余生活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丰富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丰富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线上展示、云服务，减少资源浪费，保护生态环境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便捷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环保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便捷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环保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云展示可随时随地使用网络观看展览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观展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观展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云服务平台可持续利用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持续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展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持续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为不能到访博物馆的游客提供便捷的线上服务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</w:t>
            </w: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  <w:t>％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云观展的设置贴合观众的观展需求，便于操作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</w:t>
            </w: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  <w:t>％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5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联络项目内展览所在单位，持续与项目中标单位对接，沟通项目进度安排和效果呈现。并进行各展览宣传片素材的收集和制作把关。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项目扩展为13个展览项</w:t>
            </w:r>
          </w:p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目，年内共完成14个展览的采集和制作工作，超额完成制作数量。年内支付合同价70％款项，即83.3万元，全部支付完成。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现场进行数据采集，图像处理优化，能够实现全景漫游、虚拟全景交互、地图路线导航，具备语音讲解、全屏展示、定位等功能；项目总成本价节约1%；原定计划采集上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" w:eastAsia="zh-CN"/>
              </w:rPr>
              <w:t>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10个展览项目，后扩展为13个展览，年内完成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" w:eastAsia="zh-CN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个展览的采集工作；项目实施周期为1年，但因疫情和展览出展时间的影响，2021年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" w:eastAsia="zh-CN"/>
              </w:rPr>
              <w:t>10月已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全部完成。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eastAsia="zh-CN"/>
              </w:rPr>
              <w:t>通过线上展览，丰富大众业余生活，提升文物大省知名度。云观展可以节省出行时间，能够通过一个平台观看多个展览，也可随时随地通过网络观展。云服务平台还可持续利用，操作便捷，符合受众需求。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线上展览100％能够为不能实地到访博物馆的游客提供便利，云观展也100％符合当代社会的需求。同时，游客也能够随时随地通过网络来欣赏自己想了解的展览。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9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全省联展巡展数字化展示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以互联网为依托，以虚拟现实技术和多媒体互动手段相结合，通过采用360度全景和3D模型等技术手段，以独特的视角多维度、全方位、数字化生动再现临展内容。在整体设计制作中以现代的设计语言与山西元素相集合，重点突出“永不落幕的临展”理念，为观众提供真实展览空间全景式还原的漫游体验。通过移动互联网，在手机、ipad、微信、网页端等进行无缝展示。在动态数据库和互联网的支持下，观众可通过任意端口访问，用手触或鼠标控制视角和参观路径，让观众足不出户“畅游”博物馆，打破实体临展时间与空间的局限性。展示以图文、视频、三维模型等形式呈现，为每个临展制作专属的3-5分钟宣传视频，丰富展览内容。设计语音导览功能，对展示进行延展和补充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管理缺乏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系统性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，不能适应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不断变化的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项目管理工作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，相关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业务素质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有待继续提高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。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加强项目管理，全盘了解项目内容。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强化业务素质，确保项目顺利实施。</w:t>
            </w:r>
          </w:p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严格把控质量，监督项目验收结算。</w:t>
            </w:r>
          </w:p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</w:tbl>
    <w:p/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"/>
        <w:gridCol w:w="388"/>
        <w:gridCol w:w="1289"/>
        <w:gridCol w:w="1332"/>
        <w:gridCol w:w="807"/>
        <w:gridCol w:w="1078"/>
        <w:gridCol w:w="820"/>
        <w:gridCol w:w="823"/>
        <w:gridCol w:w="15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21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填列单位（公章）：</w:t>
            </w:r>
          </w:p>
        </w:tc>
        <w:tc>
          <w:tcPr>
            <w:tcW w:w="1321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（   2021 年度）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4389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大同市辽金文化艺术博物院T提前下达辽金文化艺术博物院开展“游山西，读历史”活动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212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大同市文物局 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176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大同市辽金文化艺术博物院</w:t>
            </w:r>
          </w:p>
        </w:tc>
      </w:tr>
      <w:tr>
        <w:trPr>
          <w:trHeight w:val="270" w:hRule="atLeast"/>
        </w:trPr>
        <w:tc>
          <w:tcPr>
            <w:tcW w:w="611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项目资金     （万元）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年初预算数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全年预算数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全年执行数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执行率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11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年度资金总额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89.00 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89.00 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89.00 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11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89.00 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89.00 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89.00 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—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11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上年结转资金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—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11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—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234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226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4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为深入贯彻落实习近平总书记视察山西重要讲话精神，做好文旅融合，提升华严寺景区吸引力、影响力和竞争力.</w:t>
            </w:r>
          </w:p>
        </w:tc>
        <w:tc>
          <w:tcPr>
            <w:tcW w:w="226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完成年初预期目标。建成一座集图文展示、多媒体展示、观众互动性强的立体化辽代民族融合专题陈列馆，可以有效延长游客在华严寺的游览时间，提升景区游览丰度，同时，让人们能够回到那个战火纷飞、动荡不安、各民族高速融合发展的时代，真实感受到辽代独特的文化魅力，丰富公众的精神文化生活，讲好这一段精彩的历史故事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绩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标</w:t>
            </w:r>
          </w:p>
        </w:tc>
        <w:tc>
          <w:tcPr>
            <w:tcW w:w="2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一级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年度指标值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实际完成值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分值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得分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产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标</w:t>
            </w:r>
          </w:p>
        </w:tc>
        <w:tc>
          <w:tcPr>
            <w:tcW w:w="79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：西京展馆数量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：展馆面积㎡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138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：游客接待量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&gt;=30万人次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跨年度项目未完工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：拨款达标率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100%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100.00%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：项目完成的及时性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及时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及时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：项目实施进度完成情况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完成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完成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指标1：有效消除自然及人为因素导致的安全隐患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效果显著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效果显著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益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标</w:t>
            </w:r>
          </w:p>
        </w:tc>
        <w:tc>
          <w:tcPr>
            <w:tcW w:w="79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经济效益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指标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：提高旅游收入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有效提高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有效提高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：优化区域产业结构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结构升级显著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结构升级显著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社会效益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指标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：利于提升文化旅游形象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形成地方名片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形成地方名片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：发挥文化遗产的教育、宣传功能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民众保护意识明显提升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民众保护意识明显提升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生态效益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指标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：有利于改善区域自然生态环境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效果显著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效果显著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：推动生态文明建设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效果显著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效果显著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可持续影响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指标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：提高文物本体的可持续发展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延续性良好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延续性良好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：促进旅游资源的利用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影响长远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影响长远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满意度指标</w:t>
            </w:r>
          </w:p>
        </w:tc>
        <w:tc>
          <w:tcPr>
            <w:tcW w:w="79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服务对象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满意度指标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：文物部门满意度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≥95%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指标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kern w:val="0"/>
                <w:sz w:val="18"/>
                <w:szCs w:val="18"/>
              </w:rPr>
              <w:t>：游客满意度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≥95%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3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7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>
      <w:pPr>
        <w:pStyle w:val="2"/>
        <w:widowControl/>
        <w:shd w:val="clear" w:color="auto" w:fill="FFFFFF"/>
        <w:spacing w:before="0" w:beforeAutospacing="0" w:after="0" w:afterAutospacing="0"/>
        <w:ind w:firstLine="600" w:firstLineChars="200"/>
        <w:jc w:val="both"/>
        <w:rPr>
          <w:rStyle w:val="5"/>
          <w:rFonts w:hint="eastAsia" w:ascii="宋体" w:hAnsi="宋体" w:cs="仿宋_GB2312"/>
          <w:b w:val="0"/>
          <w:color w:val="333333"/>
          <w:sz w:val="30"/>
          <w:szCs w:val="30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0" w:beforeAutospacing="0" w:after="0" w:afterAutospacing="0"/>
        <w:ind w:firstLine="600" w:firstLineChars="200"/>
        <w:jc w:val="both"/>
        <w:rPr>
          <w:rStyle w:val="5"/>
          <w:rFonts w:hint="eastAsia" w:ascii="宋体" w:hAnsi="宋体" w:cs="仿宋_GB2312"/>
          <w:b w:val="0"/>
          <w:color w:val="333333"/>
          <w:sz w:val="30"/>
          <w:szCs w:val="30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0" w:beforeAutospacing="0" w:after="0" w:afterAutospacing="0"/>
        <w:ind w:firstLine="600" w:firstLineChars="200"/>
        <w:jc w:val="both"/>
        <w:rPr>
          <w:rStyle w:val="5"/>
          <w:rFonts w:hint="eastAsia" w:ascii="宋体" w:hAnsi="宋体" w:cs="仿宋_GB2312"/>
          <w:b w:val="0"/>
          <w:color w:val="333333"/>
          <w:sz w:val="30"/>
          <w:szCs w:val="30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0" w:beforeAutospacing="0" w:after="0" w:afterAutospacing="0"/>
        <w:ind w:firstLine="600" w:firstLineChars="200"/>
        <w:jc w:val="both"/>
        <w:rPr>
          <w:rStyle w:val="5"/>
          <w:rFonts w:hint="eastAsia" w:ascii="宋体" w:hAnsi="宋体" w:cs="仿宋_GB2312"/>
          <w:b w:val="0"/>
          <w:color w:val="333333"/>
          <w:sz w:val="30"/>
          <w:szCs w:val="30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0" w:beforeAutospacing="0" w:after="0" w:afterAutospacing="0"/>
        <w:ind w:firstLine="600" w:firstLineChars="200"/>
        <w:jc w:val="both"/>
        <w:rPr>
          <w:rStyle w:val="5"/>
          <w:rFonts w:hint="eastAsia" w:ascii="宋体" w:hAnsi="宋体" w:cs="仿宋_GB2312"/>
          <w:b w:val="0"/>
          <w:color w:val="333333"/>
          <w:sz w:val="30"/>
          <w:szCs w:val="30"/>
          <w:shd w:val="clear" w:color="auto" w:fill="FFFFFF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914"/>
        <w:gridCol w:w="914"/>
        <w:gridCol w:w="57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项目绩效  分析</w:t>
            </w:r>
          </w:p>
        </w:tc>
        <w:tc>
          <w:tcPr>
            <w:tcW w:w="5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自评结果  分析</w:t>
            </w:r>
          </w:p>
        </w:tc>
        <w:tc>
          <w:tcPr>
            <w:tcW w:w="5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3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按照进度拨付款项，切实保障景区正常运行。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3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项目按进度完成，建成一座集图文展示、多媒体展示、观众互动性强的立体化辽代民族融合专题陈列馆，可以有效延长游客在华严寺的游览时间，提升景区游览。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3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提高了旅游收入，优化了区域产业结构，提升了文化旅游形象，发挥了文化遗产的宣教功能，改善了生态环境，收到了很好的生态效益和社会效益。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3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文物保护成果显著，收到文物保护部门的认可；游客满意度也很高。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5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3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资金支出严格按照国家有关财务管理制度执行，项目资金严格按照规定级次、范围支出。具体执行过程中，项目支出严格按照预算编制的内容，对应项目资金逐项支出。经费支出严格按规定程序进行分配和拨付。第一，财务严格审核项目经费开支，有经审核的支付报表及申请报告及对应的协议、合同方可支付。第二，项目支出必须履行财务审批手续后方可办理开支。第三，项目属于政府采购范围的，严格按照政府采购程序开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项目管理中存在的主要问题及原因分析</w:t>
            </w:r>
          </w:p>
        </w:tc>
        <w:tc>
          <w:tcPr>
            <w:tcW w:w="3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财务管理制度建立不够完善，制度执行力度偏弱，财务管理监督措施有待加强。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下一步改进措施及管理建议</w:t>
            </w:r>
          </w:p>
        </w:tc>
        <w:tc>
          <w:tcPr>
            <w:tcW w:w="3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1、做好项目前期设计工作，尽量做到预算编制与实际支出吻合，控制好项目成本。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2、完善项目管理机制，严格要求，及时沟通、加强协调，保证按时按质量完成建设任务。</w:t>
            </w:r>
          </w:p>
        </w:tc>
      </w:tr>
    </w:tbl>
    <w:p/>
    <w:tbl>
      <w:tblPr>
        <w:tblStyle w:val="3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142"/>
        <w:gridCol w:w="709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2"/>
                <w:szCs w:val="32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大同市文物局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东南民居修复二期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大同市文物局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大同市文物局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保证古城文物保护工程顺利完成，促进文物事业与经济社会和谐发展，保障大同市古城东南部民居修复二期工程款支付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预算资金用于大同市古城东南部民居修复二期工程款支付，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完成当年预算安排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东南民居修复院落数量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11处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11处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建筑面积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3483.97平方米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3483.97平方米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验收合格率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合格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合格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资金及时支付率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项目支出（债券）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104万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104万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带动周边旅游业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提升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提升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促进文物事业与经济社会和谐发展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促进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促进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提升文物保护意识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提升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提升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社会公众满意度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5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保证古城文物保护工程顺利完成，促进文物事业与经济社会和谐发展，使用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债券104万元完成支付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项目资金用于保障大同市古城东南部民居修复二期工程款支付，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东南民居修复院落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11处，建筑面积3484平方米。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通过项目的运行，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带动周边旅游业发展，提升了民众文物保护意识，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取得良好的经济及社会效益，达到了预期。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上级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部门与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社会公众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达到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项目在实施过程中严格履行预算安排，规范使用资金，实现资金使用效率最优化。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项目整体资金安排与使用仍存在不足，对项目支出运行实践经验仍有欠缺。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在财政资金足额到位的情况尽可能做到科学合理的分配资金，保障各项工作有序开展。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yMTExOWQxMTJhYzY4MjE3YmQ5ZDlmMjZlMmY2MzkifQ=="/>
  </w:docVars>
  <w:rsids>
    <w:rsidRoot w:val="7A0F16FC"/>
    <w:rsid w:val="56DF18FD"/>
    <w:rsid w:val="7A0F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4057</Words>
  <Characters>4302</Characters>
  <Lines>0</Lines>
  <Paragraphs>0</Paragraphs>
  <TotalTime>0</TotalTime>
  <ScaleCrop>false</ScaleCrop>
  <LinksUpToDate>false</LinksUpToDate>
  <CharactersWithSpaces>4430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2022-08-11T01:00:00Z</dcterms:created>
  <dc:creator>龙龙</dc:creator>
  <cp:lastModifiedBy>龙龙</cp:lastModifiedBy>
  <dcterms:modified xsi:type="dcterms:W3CDTF">2022-08-11T03:25:43Z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4F6A60DE32A34A19A2DD31FADDA2C4B5</vt:lpwstr>
  </property>
</Properties>
</file>