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/>
        <w:ind w:left="0"/>
        <w:rPr>
          <w:rFonts w:ascii="Times New Roman"/>
          <w:sz w:val="20"/>
        </w:rPr>
      </w:pPr>
    </w:p>
    <w:p>
      <w:pPr>
        <w:pStyle w:val="6"/>
        <w:spacing w:before="1"/>
        <w:ind w:left="0"/>
        <w:rPr>
          <w:rFonts w:ascii="Times New Roman"/>
          <w:sz w:val="19"/>
        </w:rPr>
      </w:pPr>
    </w:p>
    <w:p>
      <w:pPr>
        <w:spacing w:before="33" w:line="254" w:lineRule="auto"/>
        <w:ind w:left="2620" w:right="3017" w:firstLine="43"/>
        <w:jc w:val="center"/>
        <w:rPr>
          <w:rFonts w:hint="eastAsia"/>
          <w:sz w:val="44"/>
          <w:lang w:val="en-US" w:eastAsia="zh-CN"/>
        </w:rPr>
      </w:pPr>
      <w:r>
        <w:rPr>
          <w:rFonts w:hint="eastAsia"/>
          <w:sz w:val="44"/>
          <w:lang w:val="en-US" w:eastAsia="zh-CN"/>
        </w:rPr>
        <w:t>大同市中医医院</w:t>
      </w:r>
    </w:p>
    <w:p>
      <w:pPr>
        <w:spacing w:before="33" w:line="254" w:lineRule="auto"/>
        <w:ind w:left="2620" w:right="3017" w:firstLine="43"/>
        <w:jc w:val="left"/>
        <w:rPr>
          <w:sz w:val="44"/>
        </w:rPr>
      </w:pPr>
      <w:r>
        <w:rPr>
          <w:sz w:val="44"/>
        </w:rPr>
        <w:t>2022</w:t>
      </w:r>
      <w:r>
        <w:rPr>
          <w:spacing w:val="-19"/>
          <w:sz w:val="44"/>
        </w:rPr>
        <w:t xml:space="preserve"> 年度部门预算公开</w:t>
      </w:r>
    </w:p>
    <w:p>
      <w:pPr>
        <w:pStyle w:val="6"/>
        <w:spacing w:before="7"/>
        <w:ind w:left="0"/>
        <w:rPr>
          <w:sz w:val="56"/>
        </w:rPr>
      </w:pPr>
    </w:p>
    <w:p>
      <w:pPr>
        <w:pStyle w:val="6"/>
        <w:spacing w:before="1"/>
        <w:ind w:left="635" w:right="399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目录</w:t>
      </w:r>
    </w:p>
    <w:sdt>
      <w:sdtPr>
        <w:id w:val="1"/>
        <w:docPartObj>
          <w:docPartGallery w:val="Table of Contents"/>
          <w:docPartUnique/>
        </w:docPartObj>
      </w:sdtPr>
      <w:sdtContent>
        <w:p>
          <w:pPr>
            <w:pStyle w:val="9"/>
            <w:tabs>
              <w:tab w:val="left" w:pos="1931"/>
              <w:tab w:val="left" w:leader="dot" w:pos="9237"/>
            </w:tabs>
          </w:pPr>
          <w:r>
            <w:fldChar w:fldCharType="begin"/>
          </w:r>
          <w:r>
            <w:instrText xml:space="preserve"> HYPERLINK \l "_TOC_250002" </w:instrText>
          </w:r>
          <w:r>
            <w:fldChar w:fldCharType="separate"/>
          </w:r>
          <w:r>
            <w:t>第一部分</w:t>
          </w:r>
          <w:r>
            <w:tab/>
          </w:r>
          <w:r>
            <w:t>概况</w:t>
          </w:r>
          <w:r>
            <w:tab/>
          </w:r>
          <w:r>
            <w:t>1</w:t>
          </w:r>
          <w:r>
            <w:fldChar w:fldCharType="end"/>
          </w:r>
        </w:p>
        <w:p>
          <w:pPr>
            <w:pStyle w:val="7"/>
            <w:tabs>
              <w:tab w:val="left" w:leader="dot" w:pos="9239"/>
            </w:tabs>
            <w:spacing w:before="117"/>
          </w:pPr>
          <w:r>
            <w:t>一、</w:t>
          </w:r>
          <w:r>
            <w:rPr>
              <w:spacing w:val="-2"/>
            </w:rPr>
            <w:t xml:space="preserve"> </w:t>
          </w:r>
          <w:r>
            <w:t>本部门职责</w:t>
          </w:r>
          <w:r>
            <w:tab/>
          </w:r>
          <w:r>
            <w:t>1</w:t>
          </w:r>
        </w:p>
        <w:p>
          <w:pPr>
            <w:pStyle w:val="7"/>
            <w:tabs>
              <w:tab w:val="left" w:leader="dot" w:pos="9239"/>
            </w:tabs>
          </w:pPr>
          <w:r>
            <w:t>二、机构设置情况</w:t>
          </w:r>
          <w:r>
            <w:tab/>
          </w:r>
          <w:r>
            <w:t>2</w:t>
          </w:r>
        </w:p>
        <w:p>
          <w:pPr>
            <w:pStyle w:val="9"/>
            <w:tabs>
              <w:tab w:val="left" w:pos="1931"/>
              <w:tab w:val="left" w:leader="dot" w:pos="9237"/>
            </w:tabs>
            <w:spacing w:before="85"/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第二部分</w:t>
          </w:r>
          <w:r>
            <w:tab/>
          </w:r>
          <w:r>
            <w:t>2022</w:t>
          </w:r>
          <w:r>
            <w:rPr>
              <w:spacing w:val="-25"/>
            </w:rPr>
            <w:t xml:space="preserve"> </w:t>
          </w:r>
          <w:r>
            <w:t>年度预算报表</w:t>
          </w:r>
          <w:r>
            <w:tab/>
          </w:r>
          <w:r>
            <w:t>3</w:t>
          </w:r>
          <w:r>
            <w:fldChar w:fldCharType="end"/>
          </w:r>
        </w:p>
        <w:p>
          <w:pPr>
            <w:pStyle w:val="7"/>
            <w:tabs>
              <w:tab w:val="left" w:leader="dot" w:pos="9239"/>
            </w:tabs>
            <w:spacing w:before="117"/>
          </w:pPr>
          <w:r>
            <w:t>一、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2"/>
            </w:rPr>
            <w:t xml:space="preserve"> </w:t>
          </w:r>
          <w:r>
            <w:t>2022</w:t>
          </w:r>
          <w:r>
            <w:rPr>
              <w:spacing w:val="-81"/>
            </w:rPr>
            <w:t xml:space="preserve"> </w:t>
          </w:r>
          <w:r>
            <w:t>年预算收支总表</w:t>
          </w:r>
          <w:r>
            <w:tab/>
          </w:r>
          <w:r>
            <w:t>3</w:t>
          </w:r>
        </w:p>
        <w:p>
          <w:pPr>
            <w:pStyle w:val="7"/>
            <w:tabs>
              <w:tab w:val="left" w:leader="dot" w:pos="9239"/>
            </w:tabs>
          </w:pPr>
          <w:r>
            <w:t>二、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4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t>年预算收入总表</w:t>
          </w:r>
          <w:r>
            <w:tab/>
          </w:r>
          <w:r>
            <w:t>4</w:t>
          </w:r>
        </w:p>
        <w:p>
          <w:pPr>
            <w:pStyle w:val="7"/>
            <w:tabs>
              <w:tab w:val="left" w:leader="dot" w:pos="9239"/>
            </w:tabs>
          </w:pPr>
          <w:r>
            <w:t>三、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0"/>
            </w:rPr>
            <w:t xml:space="preserve"> </w:t>
          </w:r>
          <w:r>
            <w:t>年预算支出总表</w:t>
          </w:r>
          <w:r>
            <w:tab/>
          </w:r>
          <w:r>
            <w:t>5</w:t>
          </w:r>
        </w:p>
        <w:p>
          <w:pPr>
            <w:pStyle w:val="7"/>
            <w:tabs>
              <w:tab w:val="left" w:leader="dot" w:pos="9239"/>
            </w:tabs>
          </w:pPr>
          <w:r>
            <w:t>四、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4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t>年财政拨款收支总表</w:t>
          </w:r>
          <w:r>
            <w:tab/>
          </w:r>
          <w:r>
            <w:t>6</w:t>
          </w:r>
        </w:p>
        <w:p>
          <w:pPr>
            <w:pStyle w:val="7"/>
            <w:tabs>
              <w:tab w:val="left" w:leader="dot" w:pos="9239"/>
            </w:tabs>
          </w:pPr>
          <w:r>
            <w:t>五、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4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t>年一般公共预算支出预算表</w:t>
          </w:r>
          <w:r>
            <w:tab/>
          </w:r>
          <w:r>
            <w:t>7</w:t>
          </w:r>
        </w:p>
        <w:p>
          <w:pPr>
            <w:pStyle w:val="7"/>
            <w:tabs>
              <w:tab w:val="left" w:leader="dot" w:pos="9239"/>
            </w:tabs>
            <w:spacing w:line="350" w:lineRule="auto"/>
            <w:ind w:left="326" w:right="724" w:firstLine="640"/>
            <w:jc w:val="center"/>
          </w:pPr>
          <w:r>
            <w:rPr>
              <w:spacing w:val="5"/>
            </w:rPr>
            <w:t>六</w:t>
          </w:r>
          <w:r>
            <w:t>、</w:t>
          </w:r>
          <w:r>
            <w:rPr>
              <w:spacing w:val="-4"/>
            </w:rPr>
            <w:t xml:space="preserve"> </w:t>
          </w:r>
          <w:r>
            <w:rPr>
              <w:rFonts w:hint="eastAsia"/>
              <w:spacing w:val="5"/>
              <w:lang w:val="en-US" w:eastAsia="zh-CN"/>
            </w:rPr>
            <w:t>大同市中医医院</w:t>
          </w:r>
          <w:r>
            <w:rPr>
              <w:spacing w:val="-81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rPr>
              <w:spacing w:val="5"/>
            </w:rPr>
            <w:t>年</w:t>
          </w:r>
          <w:r>
            <w:rPr>
              <w:spacing w:val="7"/>
            </w:rPr>
            <w:t>一</w:t>
          </w:r>
          <w:r>
            <w:rPr>
              <w:spacing w:val="5"/>
            </w:rPr>
            <w:t>般公共</w:t>
          </w:r>
          <w:r>
            <w:rPr>
              <w:spacing w:val="7"/>
            </w:rPr>
            <w:t>预</w:t>
          </w:r>
          <w:r>
            <w:rPr>
              <w:spacing w:val="5"/>
            </w:rPr>
            <w:t>算安排</w:t>
          </w:r>
          <w:r>
            <w:rPr>
              <w:spacing w:val="7"/>
            </w:rPr>
            <w:t>基</w:t>
          </w:r>
          <w:r>
            <w:rPr>
              <w:spacing w:val="5"/>
            </w:rPr>
            <w:t>本支</w:t>
          </w:r>
          <w:r>
            <w:rPr>
              <w:spacing w:val="7"/>
            </w:rPr>
            <w:t>出</w:t>
          </w:r>
          <w:r>
            <w:rPr>
              <w:spacing w:val="5"/>
            </w:rPr>
            <w:t>分</w:t>
          </w:r>
          <w:r>
            <w:t>经济科目表</w:t>
          </w:r>
          <w:r>
            <w:tab/>
          </w:r>
          <w:r>
            <w:rPr>
              <w:spacing w:val="-17"/>
              <w:w w:val="95"/>
            </w:rPr>
            <w:t>8</w:t>
          </w:r>
        </w:p>
        <w:p>
          <w:pPr>
            <w:pStyle w:val="8"/>
            <w:tabs>
              <w:tab w:val="left" w:leader="dot" w:pos="8272"/>
            </w:tabs>
            <w:spacing w:before="3"/>
            <w:ind w:right="724"/>
            <w:rPr>
              <w:rFonts w:hint="eastAsia" w:eastAsia="宋体"/>
              <w:lang w:eastAsia="zh-CN"/>
            </w:rPr>
          </w:pPr>
          <w:r>
            <w:t>七、</w:t>
          </w:r>
          <w:r>
            <w:rPr>
              <w:spacing w:val="-4"/>
            </w:rPr>
            <w:t xml:space="preserve"> 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1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t>年政府性基金预算收入预算表</w:t>
          </w:r>
          <w:r>
            <w:tab/>
          </w:r>
          <w:r>
            <w:rPr>
              <w:rFonts w:hint="eastAsia"/>
              <w:w w:val="95"/>
              <w:lang w:val="en-US" w:eastAsia="zh-CN"/>
            </w:rPr>
            <w:t>8</w:t>
          </w:r>
        </w:p>
        <w:p>
          <w:pPr>
            <w:pStyle w:val="8"/>
            <w:tabs>
              <w:tab w:val="left" w:leader="dot" w:pos="8272"/>
            </w:tabs>
            <w:ind w:right="724"/>
          </w:pPr>
          <w:r>
            <w:t>八、</w:t>
          </w:r>
          <w:r>
            <w:rPr>
              <w:rFonts w:hint="eastAsia"/>
              <w:lang w:val="en-US" w:eastAsia="zh-CN"/>
            </w:rPr>
            <w:t>大同市中医医院</w:t>
          </w:r>
          <w:r>
            <w:t>2022</w:t>
          </w:r>
          <w:r>
            <w:rPr>
              <w:spacing w:val="-81"/>
            </w:rPr>
            <w:t xml:space="preserve"> </w:t>
          </w:r>
          <w:r>
            <w:t>年政府性基金预算支出预算表</w:t>
          </w:r>
          <w:r>
            <w:tab/>
          </w:r>
          <w:r>
            <w:rPr>
              <w:w w:val="95"/>
            </w:rPr>
            <w:t>9</w:t>
          </w:r>
        </w:p>
        <w:p>
          <w:pPr>
            <w:pStyle w:val="8"/>
            <w:tabs>
              <w:tab w:val="left" w:leader="dot" w:pos="8111"/>
            </w:tabs>
            <w:rPr>
              <w:rFonts w:hint="eastAsia" w:eastAsia="宋体"/>
              <w:lang w:eastAsia="zh-CN"/>
            </w:rPr>
          </w:pPr>
          <w:r>
            <w:rPr>
              <w:rFonts w:hint="eastAsia"/>
              <w:lang w:val="en-US" w:eastAsia="zh-CN"/>
            </w:rPr>
            <w:t xml:space="preserve">  </w:t>
          </w:r>
          <w:r>
            <w:t>九、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4"/>
            </w:rPr>
            <w:t xml:space="preserve"> </w:t>
          </w:r>
          <w:r>
            <w:t>2022</w:t>
          </w:r>
          <w:r>
            <w:rPr>
              <w:spacing w:val="-81"/>
            </w:rPr>
            <w:t xml:space="preserve"> </w:t>
          </w:r>
          <w:r>
            <w:t>年国有资本经营预算收支预算表</w:t>
          </w:r>
          <w:r>
            <w:tab/>
          </w:r>
          <w:r>
            <w:rPr>
              <w:rFonts w:hint="eastAsia"/>
              <w:spacing w:val="-1"/>
              <w:w w:val="95"/>
              <w:lang w:val="en-US" w:eastAsia="zh-CN"/>
            </w:rPr>
            <w:t>9</w:t>
          </w:r>
        </w:p>
        <w:p>
          <w:pPr>
            <w:pStyle w:val="8"/>
            <w:tabs>
              <w:tab w:val="left" w:leader="dot" w:pos="8111"/>
            </w:tabs>
          </w:pPr>
          <w:r>
            <w:t>十、</w:t>
          </w:r>
          <w:r>
            <w:rPr>
              <w:rFonts w:hint="eastAsia"/>
              <w:lang w:val="en-US" w:eastAsia="zh-CN"/>
            </w:rPr>
            <w:t>大同市中医医院</w:t>
          </w:r>
          <w:r>
            <w:rPr>
              <w:spacing w:val="-84"/>
            </w:rPr>
            <w:t xml:space="preserve"> </w:t>
          </w:r>
          <w:r>
            <w:t>2022</w:t>
          </w:r>
          <w:r>
            <w:rPr>
              <w:spacing w:val="-80"/>
            </w:rPr>
            <w:t xml:space="preserve"> </w:t>
          </w:r>
          <w:r>
            <w:t>年“三公”经费支出预算表</w:t>
          </w:r>
          <w:r>
            <w:tab/>
          </w:r>
          <w:r>
            <w:rPr>
              <w:spacing w:val="-1"/>
              <w:w w:val="95"/>
            </w:rPr>
            <w:t>10</w:t>
          </w:r>
        </w:p>
        <w:p>
          <w:pPr>
            <w:pStyle w:val="8"/>
            <w:tabs>
              <w:tab w:val="left" w:leader="dot" w:pos="8752"/>
            </w:tabs>
          </w:pPr>
          <w:r>
            <w:rPr>
              <w:spacing w:val="-16"/>
            </w:rPr>
            <w:t>十一、</w:t>
          </w:r>
          <w:r>
            <w:rPr>
              <w:rFonts w:hint="eastAsia"/>
              <w:spacing w:val="-16"/>
              <w:lang w:val="en-US" w:eastAsia="zh-CN"/>
            </w:rPr>
            <w:t>大同市中医医院</w:t>
          </w:r>
          <w:r>
            <w:rPr>
              <w:spacing w:val="-16"/>
            </w:rPr>
            <w:t xml:space="preserve"> </w:t>
          </w:r>
          <w:r>
            <w:t>2022</w:t>
          </w:r>
          <w:r>
            <w:rPr>
              <w:spacing w:val="-10"/>
            </w:rPr>
            <w:t xml:space="preserve"> 年机关运行经费预算财政拨款情</w:t>
          </w:r>
        </w:p>
        <w:p>
          <w:pPr>
            <w:pStyle w:val="7"/>
            <w:tabs>
              <w:tab w:val="left" w:leader="dot" w:pos="9239"/>
            </w:tabs>
            <w:spacing w:line="350" w:lineRule="auto"/>
            <w:ind w:left="326" w:right="724" w:firstLine="640"/>
            <w:jc w:val="center"/>
            <w:rPr>
              <w:rFonts w:hint="default" w:eastAsia="宋体"/>
              <w:lang w:val="en-US" w:eastAsia="zh-CN"/>
            </w:rPr>
          </w:pPr>
          <w:r>
            <w:rPr>
              <w:rFonts w:hint="eastAsia" w:eastAsia="宋体"/>
              <w:b w:val="0"/>
              <w:bCs w:val="0"/>
              <w:lang w:val="en-US" w:eastAsia="zh-CN"/>
            </w:rPr>
            <w:t>况表</w:t>
          </w:r>
          <w:r>
            <w:rPr>
              <w:rFonts w:hint="default" w:ascii="Arial" w:hAnsi="Arial" w:eastAsia="宋体" w:cs="Arial"/>
              <w:b w:val="0"/>
              <w:bCs w:val="0"/>
              <w:lang w:val="en-US" w:eastAsia="zh-CN"/>
            </w:rPr>
            <w:t>……………………………………………………………</w:t>
          </w:r>
          <w:r>
            <w:rPr>
              <w:rFonts w:hint="eastAsia"/>
              <w:spacing w:val="-17"/>
              <w:w w:val="95"/>
              <w:lang w:val="en-US" w:eastAsia="zh-CN"/>
            </w:rPr>
            <w:t>10</w:t>
          </w:r>
        </w:p>
        <w:p>
          <w:pPr>
            <w:pStyle w:val="9"/>
            <w:tabs>
              <w:tab w:val="left" w:pos="1931"/>
              <w:tab w:val="left" w:leader="dot" w:pos="9076"/>
            </w:tabs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t>第三部分</w:t>
          </w:r>
          <w:r>
            <w:tab/>
          </w:r>
          <w:r>
            <w:t>2022</w:t>
          </w:r>
          <w:r>
            <w:rPr>
              <w:spacing w:val="-24"/>
            </w:rPr>
            <w:t xml:space="preserve"> </w:t>
          </w:r>
          <w:r>
            <w:t>年度预算情况说明</w:t>
          </w:r>
          <w:r>
            <w:tab/>
          </w:r>
          <w:r>
            <w:t>1</w:t>
          </w:r>
          <w:r>
            <w:rPr>
              <w:rFonts w:hint="eastAsia" w:eastAsia="宋体"/>
              <w:lang w:val="en-US" w:eastAsia="zh-CN"/>
            </w:rPr>
            <w:t>1</w:t>
          </w:r>
          <w:r>
            <w:fldChar w:fldCharType="end"/>
          </w:r>
        </w:p>
      </w:sdtContent>
    </w:sdt>
    <w:p>
      <w:pPr>
        <w:spacing w:after="0"/>
        <w:sectPr>
          <w:type w:val="continuous"/>
          <w:pgSz w:w="11910" w:h="16840"/>
          <w:pgMar w:top="1134" w:right="850" w:bottom="850" w:left="850" w:header="720" w:footer="720" w:gutter="0"/>
          <w:cols w:space="0" w:num="1"/>
          <w:rtlGutter w:val="0"/>
          <w:docGrid w:linePitch="0" w:charSpace="0"/>
        </w:sectPr>
      </w:pPr>
    </w:p>
    <w:p>
      <w:pPr>
        <w:pStyle w:val="6"/>
        <w:tabs>
          <w:tab w:val="right" w:leader="dot" w:pos="9396"/>
        </w:tabs>
        <w:spacing w:before="63"/>
        <w:ind w:left="967"/>
        <w:rPr>
          <w:rFonts w:hint="eastAsia" w:eastAsia="宋体"/>
          <w:lang w:eastAsia="zh-CN"/>
        </w:rPr>
      </w:pPr>
      <w:r>
        <w:t>一、2022</w:t>
      </w:r>
      <w:r>
        <w:rPr>
          <w:spacing w:val="-79"/>
        </w:rPr>
        <w:t xml:space="preserve"> </w:t>
      </w:r>
      <w:r>
        <w:t>年度部门预算数据变动情况及原因</w:t>
      </w:r>
      <w:r>
        <w:tab/>
      </w:r>
      <w:r>
        <w:t>1</w:t>
      </w:r>
      <w:r>
        <w:rPr>
          <w:rFonts w:hint="eastAsia"/>
          <w:lang w:val="en-US" w:eastAsia="zh-CN"/>
        </w:rPr>
        <w:t>1</w:t>
      </w:r>
    </w:p>
    <w:p>
      <w:pPr>
        <w:pStyle w:val="6"/>
        <w:tabs>
          <w:tab w:val="right" w:leader="dot" w:pos="9396"/>
        </w:tabs>
        <w:ind w:left="967"/>
        <w:rPr>
          <w:rFonts w:hint="eastAsia" w:eastAsia="宋体"/>
          <w:lang w:eastAsia="zh-CN"/>
        </w:rPr>
      </w:pPr>
      <w:r>
        <w:t>二、“三公”经费增减变动原因说明</w:t>
      </w:r>
      <w:r>
        <w:tab/>
      </w:r>
      <w:r>
        <w:t>1</w:t>
      </w:r>
      <w:r>
        <w:rPr>
          <w:rFonts w:hint="eastAsia"/>
          <w:lang w:val="en-US" w:eastAsia="zh-CN"/>
        </w:rPr>
        <w:t>2</w:t>
      </w:r>
    </w:p>
    <w:p>
      <w:pPr>
        <w:pStyle w:val="6"/>
        <w:tabs>
          <w:tab w:val="right" w:leader="dot" w:pos="9396"/>
        </w:tabs>
        <w:ind w:left="967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三</w:t>
      </w:r>
      <w:r>
        <w:t>、政府采购情况</w:t>
      </w:r>
      <w:r>
        <w:tab/>
      </w:r>
      <w:r>
        <w:t>1</w:t>
      </w:r>
      <w:r>
        <w:rPr>
          <w:rFonts w:hint="eastAsia"/>
          <w:lang w:val="en-US" w:eastAsia="zh-CN"/>
        </w:rPr>
        <w:t>2</w:t>
      </w:r>
    </w:p>
    <w:p>
      <w:pPr>
        <w:pStyle w:val="6"/>
        <w:tabs>
          <w:tab w:val="right" w:leader="dot" w:pos="9396"/>
        </w:tabs>
        <w:ind w:left="967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四</w:t>
      </w:r>
      <w:r>
        <w:t>、绩效管理情况</w:t>
      </w:r>
      <w:r>
        <w:tab/>
      </w:r>
      <w:r>
        <w:t>1</w:t>
      </w:r>
      <w:r>
        <w:rPr>
          <w:rFonts w:hint="eastAsia"/>
          <w:lang w:val="en-US" w:eastAsia="zh-CN"/>
        </w:rPr>
        <w:t>3</w:t>
      </w:r>
    </w:p>
    <w:p>
      <w:pPr>
        <w:pStyle w:val="6"/>
        <w:tabs>
          <w:tab w:val="right" w:leader="dot" w:pos="9396"/>
        </w:tabs>
        <w:ind w:left="967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五</w:t>
      </w:r>
      <w:r>
        <w:t>、国有资产占有使用情况</w:t>
      </w:r>
      <w:r>
        <w:tab/>
      </w:r>
      <w:r>
        <w:t>2</w:t>
      </w:r>
      <w:r>
        <w:rPr>
          <w:rFonts w:hint="eastAsia"/>
          <w:lang w:val="en-US" w:eastAsia="zh-CN"/>
        </w:rPr>
        <w:t>6</w:t>
      </w:r>
    </w:p>
    <w:p>
      <w:pPr>
        <w:tabs>
          <w:tab w:val="left" w:pos="1931"/>
          <w:tab w:val="right" w:leader="dot" w:pos="9397"/>
        </w:tabs>
        <w:spacing w:before="84"/>
        <w:ind w:left="326" w:right="0" w:firstLine="0"/>
        <w:jc w:val="left"/>
        <w:rPr>
          <w:rFonts w:hint="eastAsia" w:eastAsia="宋体"/>
          <w:lang w:val="en-US" w:eastAsia="zh-CN"/>
        </w:rPr>
        <w:sectPr>
          <w:pgSz w:w="11910" w:h="16840"/>
          <w:pgMar w:top="1134" w:right="850" w:bottom="850" w:left="850" w:header="720" w:footer="720" w:gutter="0"/>
          <w:cols w:space="720" w:num="1"/>
          <w:rtlGutter w:val="0"/>
          <w:docGrid w:linePitch="0" w:charSpace="0"/>
        </w:sectPr>
      </w:pPr>
      <w:r>
        <w:rPr>
          <w:rFonts w:hint="eastAsia" w:ascii="Microsoft JhengHei" w:eastAsia="Microsoft JhengHei"/>
          <w:b/>
          <w:sz w:val="32"/>
        </w:rPr>
        <w:t>第四部分</w:t>
      </w:r>
      <w:r>
        <w:rPr>
          <w:rFonts w:hint="eastAsia" w:ascii="Microsoft JhengHei" w:eastAsia="Microsoft JhengHei"/>
          <w:b/>
          <w:sz w:val="32"/>
        </w:rPr>
        <w:tab/>
      </w:r>
      <w:r>
        <w:rPr>
          <w:rFonts w:hint="eastAsia" w:ascii="Microsoft JhengHei" w:eastAsia="Microsoft JhengHei"/>
          <w:b/>
          <w:sz w:val="32"/>
        </w:rPr>
        <w:t>名词解释</w:t>
      </w:r>
      <w:r>
        <w:rPr>
          <w:rFonts w:hint="eastAsia" w:ascii="Microsoft JhengHei" w:eastAsia="Microsoft JhengHei"/>
          <w:b/>
          <w:sz w:val="32"/>
        </w:rPr>
        <w:tab/>
      </w:r>
      <w:r>
        <w:rPr>
          <w:rFonts w:hint="eastAsia" w:ascii="Microsoft JhengHei" w:eastAsia="Microsoft JhengHei"/>
          <w:b/>
          <w:sz w:val="32"/>
        </w:rPr>
        <w:t>2</w:t>
      </w:r>
      <w:r>
        <w:rPr>
          <w:rFonts w:hint="eastAsia" w:ascii="Microsoft JhengHei"/>
          <w:b/>
          <w:sz w:val="32"/>
          <w:lang w:val="en-US" w:eastAsia="zh-CN"/>
        </w:rPr>
        <w:t>6</w:t>
      </w:r>
    </w:p>
    <w:p>
      <w:pPr>
        <w:numPr>
          <w:ilvl w:val="0"/>
          <w:numId w:val="0"/>
        </w:numPr>
        <w:spacing w:before="0" w:after="0"/>
        <w:ind w:right="88" w:rightChars="4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 w:bidi="zh-CN"/>
        </w:rPr>
        <w:t>第一部分 概况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80" w:leftChars="400" w:right="748" w:rightChars="340" w:firstLine="534" w:firstLineChars="167"/>
        <w:jc w:val="both"/>
        <w:textAlignment w:val="baseline"/>
        <w:rPr>
          <w:rFonts w:hint="default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一、部门职责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zh-CN" w:eastAsia="zh-CN" w:bidi="zh-CN"/>
        </w:rPr>
        <w:t>大同市中医医院始建于1958年7月，1988年被省卫生厅评为“文明中医院”，2019年顺利通过二级甲等中医院评审。2009年7月大同市中医医院御东新院开工建设，占地面积122亩，总建筑面积8.9万㎡，编制床位500张，2012年10月正式投入使用，是我市唯一一所集医疗、预防、科研、教学、康复为一体的市级中医医院。主要职责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zh-CN" w:eastAsia="zh-CN" w:bidi="zh-CN"/>
        </w:rPr>
        <w:t>为人民身体健康提供医疗与保健服务，以中医为主，中医、中西医结合并重，充分发挥中医药特色和优势，遵循中医药自身发展规律，运用传统理论和方法，结合现代科学技术手段，发挥中医药在防治疾病、保健、康复中的作用，为群众提供价格合理，质量优良的中医药服务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zh-CN" w:eastAsia="zh-CN" w:bidi="zh-CN"/>
        </w:rPr>
        <w:t>二、机构设置情况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我院现有在编职工264人，聘用人员204人，返聘人员20人，共有职工488人。卫生技术人员405人，其中高级职称71人，中级职称117人，初级职称217人，卫生技术人员中具有硕士研究生学历的40人。省级名中医2名，市级名中医11名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目前大型设备有移动CT、1.5 T核磁、64排螺旋CT、彩超、高清电子肠镜、胃镜、全自动生化分析仪、DR、CR等，价值9000余万元。现主要开设的科室有：急诊科、内科、妇科、儿科、康复科、皮肤科、疼痛科、针灸科等临床科室及放射科、检验科、超声科等医技科室。其中康复科、皮肤科、肛肠科、针灸科为省级重点专科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80" w:leftChars="400" w:right="748" w:rightChars="340" w:firstLine="534" w:firstLineChars="167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zh-CN" w:eastAsia="zh-CN" w:bidi="zh-CN"/>
        </w:rPr>
        <w:sectPr>
          <w:footerReference r:id="rId3" w:type="default"/>
          <w:pgSz w:w="11910" w:h="16840"/>
          <w:pgMar w:top="1134" w:right="850" w:bottom="850" w:left="850" w:header="0" w:footer="1079" w:gutter="0"/>
          <w:pgNumType w:start="1"/>
          <w:cols w:space="425" w:num="1"/>
          <w:rtlGutter w:val="0"/>
          <w:docGrid w:linePitch="0" w:charSpace="0"/>
        </w:sectPr>
      </w:pPr>
      <w:r>
        <w:rPr>
          <w:rFonts w:hint="eastAsia" w:ascii="宋体" w:hAnsi="宋体" w:eastAsia="宋体" w:cs="宋体"/>
          <w:sz w:val="32"/>
          <w:szCs w:val="32"/>
          <w:lang w:val="en-US" w:eastAsia="zh-CN" w:bidi="zh-CN"/>
        </w:rPr>
        <w:t>制剂室建设项目，总投资2130万元，建筑面积3134平方米，设计生产剂型9个。目前该项目已完工，进入竣工结算及认证阶段，2022年投入生产。</w:t>
      </w:r>
    </w:p>
    <w:p>
      <w:pPr>
        <w:pStyle w:val="4"/>
        <w:tabs>
          <w:tab w:val="left" w:pos="1799"/>
        </w:tabs>
      </w:pPr>
      <w:bookmarkStart w:id="0" w:name="_TOC_250001"/>
    </w:p>
    <w:p>
      <w:pPr>
        <w:pStyle w:val="4"/>
        <w:tabs>
          <w:tab w:val="left" w:pos="1799"/>
        </w:tabs>
        <w:rPr>
          <w:b/>
          <w:bCs/>
        </w:rPr>
      </w:pPr>
      <w:r>
        <w:rPr>
          <w:b/>
          <w:bCs/>
        </w:rPr>
        <w:t>第二部分</w:t>
      </w:r>
      <w:r>
        <w:rPr>
          <w:b/>
          <w:bCs/>
        </w:rPr>
        <w:tab/>
      </w:r>
      <w:r>
        <w:rPr>
          <w:b/>
          <w:bCs/>
        </w:rPr>
        <w:t>2022</w:t>
      </w:r>
      <w:r>
        <w:rPr>
          <w:b/>
          <w:bCs/>
          <w:spacing w:val="-89"/>
        </w:rPr>
        <w:t xml:space="preserve"> </w:t>
      </w:r>
      <w:bookmarkEnd w:id="0"/>
      <w:r>
        <w:rPr>
          <w:b/>
          <w:bCs/>
        </w:rPr>
        <w:t>年度预算报表</w:t>
      </w:r>
    </w:p>
    <w:p>
      <w:pPr>
        <w:pStyle w:val="6"/>
        <w:spacing w:before="181"/>
        <w:ind w:firstLine="302" w:firstLineChars="1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9"/>
          <w:lang w:val="en-US" w:eastAsia="zh-CN"/>
        </w:rPr>
        <w:t>一、大同市中医医院</w:t>
      </w:r>
      <w:r>
        <w:rPr>
          <w:rFonts w:hint="eastAsia" w:ascii="宋体" w:hAnsi="宋体" w:eastAsia="宋体" w:cs="宋体"/>
          <w:spacing w:val="-9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年预算收支总表</w:t>
      </w:r>
    </w:p>
    <w:p>
      <w:pPr>
        <w:pStyle w:val="6"/>
        <w:spacing w:before="5"/>
        <w:ind w:left="220" w:leftChars="100" w:firstLine="0" w:firstLineChars="0"/>
        <w:rPr>
          <w:rFonts w:ascii="黑体"/>
          <w:sz w:val="9"/>
        </w:rPr>
      </w:pPr>
      <w:r>
        <w:drawing>
          <wp:inline distT="0" distB="0" distL="114300" distR="114300">
            <wp:extent cx="6151245" cy="7919085"/>
            <wp:effectExtent l="0" t="0" r="1905" b="571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791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黑体"/>
          <w:sz w:val="9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</w:p>
    <w:p>
      <w:pPr>
        <w:pStyle w:val="6"/>
        <w:numPr>
          <w:ilvl w:val="0"/>
          <w:numId w:val="0"/>
        </w:numPr>
        <w:spacing w:before="43"/>
        <w:ind w:right="0" w:rightChars="0" w:firstLine="600" w:firstLineChars="20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  <w:lang w:val="en-US" w:eastAsia="zh-CN"/>
        </w:rPr>
        <w:t>二、大同市中医医院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年预算收入总表</w:t>
      </w:r>
    </w:p>
    <w:p>
      <w:pPr>
        <w:pStyle w:val="6"/>
        <w:numPr>
          <w:ilvl w:val="0"/>
          <w:numId w:val="0"/>
        </w:numPr>
        <w:spacing w:before="43"/>
        <w:ind w:right="0" w:rightChars="0"/>
        <w:rPr>
          <w:rFonts w:hint="eastAsia" w:ascii="宋体" w:hAnsi="宋体" w:eastAsia="宋体" w:cs="宋体"/>
        </w:rPr>
      </w:pPr>
    </w:p>
    <w:p>
      <w:pPr>
        <w:spacing w:after="0"/>
        <w:ind w:left="440" w:leftChars="200" w:firstLine="0" w:firstLineChars="0"/>
        <w:rPr>
          <w:rFonts w:hint="eastAsia" w:ascii="黑体" w:eastAsia="黑体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  <w:r>
        <w:drawing>
          <wp:inline distT="0" distB="0" distL="114300" distR="114300">
            <wp:extent cx="6069330" cy="8147685"/>
            <wp:effectExtent l="0" t="0" r="7620" b="571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6933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1"/>
        </w:numPr>
        <w:spacing w:before="43"/>
        <w:ind w:left="9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年预算支出总表</w:t>
      </w:r>
    </w:p>
    <w:p>
      <w:pPr>
        <w:pStyle w:val="6"/>
        <w:numPr>
          <w:ilvl w:val="0"/>
          <w:numId w:val="0"/>
        </w:numPr>
        <w:spacing w:before="43"/>
        <w:ind w:right="0" w:rightChars="0"/>
        <w:rPr>
          <w:rFonts w:hint="eastAsia" w:ascii="宋体" w:hAnsi="宋体" w:eastAsia="宋体" w:cs="宋体"/>
        </w:rPr>
      </w:pPr>
    </w:p>
    <w:p>
      <w:pPr>
        <w:pStyle w:val="6"/>
        <w:spacing w:before="4"/>
        <w:ind w:left="0"/>
        <w:rPr>
          <w:rFonts w:ascii="黑体"/>
          <w:sz w:val="20"/>
        </w:rPr>
      </w:pPr>
    </w:p>
    <w:p>
      <w:pPr>
        <w:spacing w:after="0"/>
        <w:ind w:left="440" w:leftChars="200" w:firstLine="0" w:firstLineChars="0"/>
        <w:rPr>
          <w:rFonts w:ascii="黑体"/>
          <w:sz w:val="20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  <w:r>
        <w:drawing>
          <wp:inline distT="0" distB="0" distL="114300" distR="114300">
            <wp:extent cx="5934075" cy="7048500"/>
            <wp:effectExtent l="0" t="0" r="0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0"/>
        </w:numPr>
        <w:spacing w:before="43"/>
        <w:ind w:right="0" w:rightChars="0" w:firstLine="60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  <w:lang w:val="en-US" w:eastAsia="zh-CN"/>
        </w:rPr>
        <w:t>四、大同市中医医院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年财政拨款收支总表</w:t>
      </w:r>
    </w:p>
    <w:p>
      <w:pPr>
        <w:pStyle w:val="6"/>
        <w:numPr>
          <w:ilvl w:val="0"/>
          <w:numId w:val="0"/>
        </w:numPr>
        <w:spacing w:before="43"/>
        <w:ind w:right="0" w:rightChars="0"/>
        <w:rPr>
          <w:rFonts w:hint="eastAsia" w:ascii="黑体" w:eastAsia="黑体"/>
        </w:rPr>
      </w:pPr>
    </w:p>
    <w:p>
      <w:pPr>
        <w:pStyle w:val="6"/>
        <w:numPr>
          <w:ilvl w:val="0"/>
          <w:numId w:val="0"/>
        </w:numPr>
        <w:spacing w:before="43"/>
        <w:ind w:left="220" w:leftChars="100" w:right="0" w:rightChars="0" w:firstLine="0" w:firstLineChars="0"/>
        <w:jc w:val="left"/>
        <w:rPr>
          <w:rFonts w:hint="eastAsia" w:ascii="黑体" w:eastAsia="黑体"/>
        </w:rPr>
      </w:pPr>
      <w:r>
        <w:drawing>
          <wp:inline distT="0" distB="0" distL="114300" distR="114300">
            <wp:extent cx="6177915" cy="8159750"/>
            <wp:effectExtent l="0" t="0" r="3810" b="3175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815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0"/>
        <w:ind w:left="0"/>
        <w:rPr>
          <w:rFonts w:ascii="黑体"/>
          <w:sz w:val="11"/>
        </w:rPr>
      </w:pPr>
    </w:p>
    <w:p>
      <w:pPr>
        <w:pStyle w:val="6"/>
        <w:spacing w:before="43"/>
        <w:ind w:left="967"/>
        <w:rPr>
          <w:rFonts w:hint="eastAsia" w:ascii="黑体" w:eastAsia="黑体"/>
          <w:spacing w:val="-10"/>
        </w:rPr>
      </w:pPr>
    </w:p>
    <w:p>
      <w:pPr>
        <w:pStyle w:val="6"/>
        <w:spacing w:before="43"/>
        <w:ind w:left="9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</w:rPr>
        <w:t>五、</w:t>
      </w: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年一般公共预算支出预算表</w:t>
      </w:r>
    </w:p>
    <w:p>
      <w:pPr>
        <w:pStyle w:val="6"/>
        <w:spacing w:before="6"/>
        <w:ind w:left="0"/>
        <w:rPr>
          <w:rFonts w:hint="eastAsia" w:ascii="宋体" w:hAnsi="宋体" w:eastAsia="宋体" w:cs="宋体"/>
          <w:sz w:val="21"/>
        </w:rPr>
      </w:pPr>
    </w:p>
    <w:p>
      <w:pPr>
        <w:spacing w:after="0"/>
        <w:ind w:left="220" w:leftChars="100" w:firstLine="0" w:firstLineChars="0"/>
        <w:rPr>
          <w:rFonts w:ascii="黑体"/>
          <w:sz w:val="21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  <w:r>
        <w:drawing>
          <wp:inline distT="0" distB="0" distL="114300" distR="114300">
            <wp:extent cx="6124575" cy="6905625"/>
            <wp:effectExtent l="0" t="0" r="0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 w:line="350" w:lineRule="auto"/>
        <w:ind w:right="725" w:firstLine="64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3"/>
        </w:rPr>
        <w:t>六、</w:t>
      </w:r>
      <w:r>
        <w:rPr>
          <w:rFonts w:hint="eastAsia" w:ascii="宋体" w:hAnsi="宋体" w:eastAsia="宋体" w:cs="宋体"/>
          <w:spacing w:val="-13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3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109"/>
        </w:rPr>
        <w:t xml:space="preserve"> </w:t>
      </w:r>
      <w:r>
        <w:rPr>
          <w:rFonts w:hint="eastAsia" w:ascii="宋体" w:hAnsi="宋体" w:eastAsia="宋体" w:cs="宋体"/>
        </w:rPr>
        <w:t>年一般公共预算安排基本支出分经济科目表</w:t>
      </w:r>
    </w:p>
    <w:p>
      <w:pPr>
        <w:spacing w:after="0" w:line="350" w:lineRule="auto"/>
        <w:rPr>
          <w:rFonts w:hint="eastAsia" w:ascii="黑体" w:eastAsia="黑体"/>
        </w:rPr>
      </w:pPr>
    </w:p>
    <w:p>
      <w:pPr>
        <w:spacing w:after="0" w:line="350" w:lineRule="auto"/>
      </w:pPr>
      <w:r>
        <w:drawing>
          <wp:inline distT="0" distB="0" distL="114300" distR="114300">
            <wp:extent cx="5982335" cy="3022600"/>
            <wp:effectExtent l="0" t="0" r="18415" b="635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2"/>
          <w:szCs w:val="22"/>
          <w:lang w:val="zh-CN" w:eastAsia="zh-CN" w:bidi="zh-CN"/>
        </w:rPr>
      </w:pPr>
    </w:p>
    <w:p>
      <w:pPr>
        <w:rPr>
          <w:rFonts w:hint="eastAsia" w:ascii="宋体" w:hAnsi="宋体" w:eastAsia="宋体" w:cs="宋体"/>
          <w:sz w:val="22"/>
          <w:szCs w:val="22"/>
          <w:lang w:val="zh-CN" w:eastAsia="zh-CN" w:bidi="zh-CN"/>
        </w:r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spacing w:before="43"/>
        <w:ind w:left="0" w:leftChars="0" w:firstLine="64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七、</w:t>
      </w:r>
      <w:r>
        <w:rPr>
          <w:rFonts w:hint="eastAsia" w:ascii="宋体" w:hAnsi="宋体" w:eastAsia="宋体" w:cs="宋体"/>
          <w:lang w:val="en-US" w:eastAsia="zh-CN"/>
        </w:rPr>
        <w:t>大同市中医医院</w:t>
      </w:r>
      <w:r>
        <w:rPr>
          <w:rFonts w:hint="eastAsia" w:ascii="宋体" w:hAnsi="宋体" w:eastAsia="宋体" w:cs="宋体"/>
        </w:rPr>
        <w:t xml:space="preserve"> 2022 年政府性基金预算收入预算表</w:t>
      </w:r>
    </w:p>
    <w:p>
      <w:pPr>
        <w:pStyle w:val="6"/>
        <w:spacing w:before="7"/>
        <w:ind w:left="0"/>
        <w:rPr>
          <w:rFonts w:ascii="黑体"/>
          <w:sz w:val="8"/>
        </w:rPr>
      </w:pPr>
    </w:p>
    <w:p>
      <w:pPr>
        <w:pStyle w:val="6"/>
        <w:spacing w:before="0"/>
        <w:ind w:left="0"/>
        <w:rPr>
          <w:rFonts w:ascii="黑体"/>
          <w:sz w:val="20"/>
        </w:rPr>
      </w:pPr>
      <w:r>
        <w:drawing>
          <wp:inline distT="0" distB="0" distL="114300" distR="114300">
            <wp:extent cx="6162675" cy="2799080"/>
            <wp:effectExtent l="0" t="0" r="0" b="127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pStyle w:val="6"/>
        <w:spacing w:before="6"/>
        <w:ind w:left="0"/>
        <w:rPr>
          <w:rFonts w:ascii="黑体"/>
          <w:sz w:val="29"/>
        </w:rPr>
      </w:pPr>
    </w:p>
    <w:p>
      <w:pPr>
        <w:pStyle w:val="6"/>
        <w:spacing w:before="6"/>
        <w:ind w:left="0"/>
        <w:rPr>
          <w:rFonts w:ascii="黑体"/>
          <w:sz w:val="29"/>
        </w:rPr>
      </w:pPr>
      <w:bookmarkStart w:id="2" w:name="_GoBack"/>
      <w:bookmarkEnd w:id="2"/>
    </w:p>
    <w:p>
      <w:pPr>
        <w:pStyle w:val="6"/>
        <w:spacing w:before="6"/>
        <w:ind w:left="0"/>
        <w:rPr>
          <w:rFonts w:ascii="黑体"/>
          <w:sz w:val="29"/>
        </w:rPr>
      </w:pPr>
    </w:p>
    <w:p>
      <w:pPr>
        <w:pStyle w:val="6"/>
        <w:spacing w:before="0"/>
        <w:ind w:left="0"/>
        <w:rPr>
          <w:sz w:val="20"/>
        </w:rPr>
      </w:pPr>
    </w:p>
    <w:p>
      <w:pPr>
        <w:pStyle w:val="6"/>
        <w:spacing w:before="0"/>
        <w:ind w:left="0"/>
        <w:rPr>
          <w:sz w:val="20"/>
        </w:rPr>
      </w:pPr>
    </w:p>
    <w:p>
      <w:pPr>
        <w:pStyle w:val="6"/>
        <w:spacing w:before="5"/>
        <w:ind w:left="0"/>
        <w:rPr>
          <w:rFonts w:hint="eastAsia" w:ascii="宋体" w:hAnsi="宋体" w:eastAsia="宋体" w:cs="宋体"/>
          <w:sz w:val="17"/>
        </w:rPr>
      </w:pPr>
    </w:p>
    <w:p>
      <w:pPr>
        <w:pStyle w:val="6"/>
        <w:spacing w:before="55"/>
        <w:ind w:left="9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</w:rPr>
        <w:t>八、</w:t>
      </w: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9"/>
        </w:rPr>
        <w:t xml:space="preserve"> </w:t>
      </w:r>
      <w:r>
        <w:rPr>
          <w:rFonts w:hint="eastAsia" w:ascii="宋体" w:hAnsi="宋体" w:eastAsia="宋体" w:cs="宋体"/>
        </w:rPr>
        <w:t>年政府性基金预算支出预算表</w:t>
      </w: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pStyle w:val="6"/>
        <w:spacing w:before="0"/>
        <w:ind w:left="0"/>
        <w:rPr>
          <w:rFonts w:ascii="黑体"/>
          <w:sz w:val="20"/>
        </w:rPr>
      </w:pPr>
      <w:r>
        <w:drawing>
          <wp:inline distT="0" distB="0" distL="114300" distR="114300">
            <wp:extent cx="5972175" cy="2709545"/>
            <wp:effectExtent l="0" t="0" r="0" b="508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pStyle w:val="6"/>
        <w:spacing w:before="43"/>
        <w:ind w:left="967"/>
        <w:rPr>
          <w:rFonts w:hint="eastAsia" w:ascii="黑体" w:eastAsia="黑体"/>
          <w:spacing w:val="-10"/>
        </w:rPr>
      </w:pPr>
    </w:p>
    <w:p>
      <w:pPr>
        <w:pStyle w:val="6"/>
        <w:spacing w:before="43"/>
        <w:ind w:left="967"/>
        <w:rPr>
          <w:rFonts w:hint="eastAsia" w:ascii="黑体" w:eastAsia="黑体"/>
          <w:spacing w:val="-10"/>
        </w:rPr>
      </w:pPr>
    </w:p>
    <w:p>
      <w:pPr>
        <w:pStyle w:val="6"/>
        <w:spacing w:before="43"/>
        <w:ind w:left="9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</w:rPr>
        <w:t>九、</w:t>
      </w: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9"/>
        </w:rPr>
        <w:t xml:space="preserve"> </w:t>
      </w:r>
      <w:r>
        <w:rPr>
          <w:rFonts w:hint="eastAsia" w:ascii="宋体" w:hAnsi="宋体" w:eastAsia="宋体" w:cs="宋体"/>
        </w:rPr>
        <w:t>年国有资本经营预算收支预算表</w:t>
      </w:r>
    </w:p>
    <w:p>
      <w:pPr>
        <w:pStyle w:val="6"/>
        <w:spacing w:before="5"/>
        <w:ind w:left="0"/>
        <w:rPr>
          <w:rFonts w:ascii="黑体"/>
          <w:sz w:val="29"/>
        </w:rPr>
      </w:pPr>
      <w:r>
        <w:drawing>
          <wp:inline distT="0" distB="0" distL="114300" distR="114300">
            <wp:extent cx="5984875" cy="2306320"/>
            <wp:effectExtent l="0" t="0" r="6350" b="825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256" w:line="350" w:lineRule="auto"/>
        <w:ind w:right="725" w:firstLine="640"/>
        <w:rPr>
          <w:sz w:val="47"/>
        </w:rPr>
      </w:pPr>
      <w:r>
        <w:rPr>
          <w:spacing w:val="-13"/>
        </w:rPr>
        <w:t>说明：</w:t>
      </w: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spacing w:val="-13"/>
        </w:rPr>
        <w:t xml:space="preserve"> </w:t>
      </w:r>
      <w:r>
        <w:t>2022</w:t>
      </w:r>
      <w:r>
        <w:rPr>
          <w:spacing w:val="-10"/>
        </w:rPr>
        <w:t xml:space="preserve"> 年国有资本经营预算收入和支出均为零。</w:t>
      </w:r>
    </w:p>
    <w:p>
      <w:pPr>
        <w:pStyle w:val="6"/>
        <w:spacing w:before="0"/>
        <w:ind w:left="967"/>
        <w:rPr>
          <w:rFonts w:hint="eastAsia" w:ascii="黑体" w:hAnsi="黑体" w:eastAsia="黑体"/>
          <w:spacing w:val="-10"/>
        </w:rPr>
      </w:pPr>
    </w:p>
    <w:p>
      <w:pPr>
        <w:pStyle w:val="6"/>
        <w:spacing w:before="0"/>
        <w:ind w:left="967"/>
        <w:rPr>
          <w:rFonts w:hint="eastAsia" w:ascii="黑体" w:hAnsi="黑体" w:eastAsia="黑体"/>
          <w:spacing w:val="-10"/>
        </w:rPr>
      </w:pPr>
    </w:p>
    <w:p>
      <w:pPr>
        <w:pStyle w:val="6"/>
        <w:spacing w:before="0"/>
        <w:ind w:left="0" w:leftChars="0" w:firstLine="0" w:firstLineChars="0"/>
        <w:rPr>
          <w:rFonts w:hint="eastAsia" w:ascii="黑体" w:hAnsi="黑体" w:eastAsia="黑体"/>
          <w:spacing w:val="-10"/>
        </w:rPr>
      </w:pPr>
    </w:p>
    <w:p>
      <w:pPr>
        <w:pStyle w:val="6"/>
        <w:spacing w:before="0"/>
        <w:ind w:left="967"/>
        <w:rPr>
          <w:rFonts w:hint="eastAsia" w:ascii="黑体" w:hAnsi="黑体" w:eastAsia="黑体"/>
          <w:spacing w:val="-10"/>
        </w:rPr>
      </w:pPr>
    </w:p>
    <w:p>
      <w:pPr>
        <w:pStyle w:val="6"/>
        <w:spacing w:before="0"/>
        <w:ind w:left="967"/>
        <w:rPr>
          <w:rFonts w:hint="eastAsia" w:ascii="黑体" w:hAnsi="黑体" w:eastAsia="黑体"/>
          <w:spacing w:val="-10"/>
        </w:rPr>
      </w:pPr>
    </w:p>
    <w:p>
      <w:pPr>
        <w:pStyle w:val="6"/>
        <w:spacing w:before="0"/>
        <w:ind w:left="96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0"/>
        </w:rPr>
        <w:t>十、</w:t>
      </w:r>
      <w:r>
        <w:rPr>
          <w:rFonts w:hint="eastAsia" w:ascii="宋体" w:hAnsi="宋体" w:eastAsia="宋体" w:cs="宋体"/>
          <w:spacing w:val="-10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0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8"/>
        </w:rPr>
        <w:t xml:space="preserve"> </w:t>
      </w:r>
      <w:r>
        <w:rPr>
          <w:rFonts w:hint="eastAsia" w:ascii="宋体" w:hAnsi="宋体" w:eastAsia="宋体" w:cs="宋体"/>
        </w:rPr>
        <w:t>年“三公”经费支出预算表</w:t>
      </w: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spacing w:after="0"/>
      </w:pPr>
      <w:r>
        <w:drawing>
          <wp:inline distT="0" distB="0" distL="114300" distR="114300">
            <wp:extent cx="5932170" cy="2277110"/>
            <wp:effectExtent l="0" t="0" r="1905" b="889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</w:pPr>
    </w:p>
    <w:p>
      <w:pPr>
        <w:pStyle w:val="6"/>
        <w:spacing w:before="256" w:line="350" w:lineRule="auto"/>
        <w:ind w:right="725" w:firstLine="640"/>
        <w:rPr>
          <w:spacing w:val="-10"/>
        </w:rPr>
      </w:pPr>
      <w:r>
        <w:rPr>
          <w:spacing w:val="-13"/>
        </w:rPr>
        <w:t>说明：</w:t>
      </w:r>
      <w:r>
        <w:rPr>
          <w:rFonts w:hint="eastAsia"/>
          <w:spacing w:val="-13"/>
          <w:lang w:val="en-US" w:eastAsia="zh-CN"/>
        </w:rPr>
        <w:t>大同市中医医院</w:t>
      </w:r>
      <w:r>
        <w:rPr>
          <w:spacing w:val="-13"/>
        </w:rPr>
        <w:t xml:space="preserve"> </w:t>
      </w:r>
      <w:r>
        <w:t>2022</w:t>
      </w:r>
      <w:r>
        <w:rPr>
          <w:spacing w:val="-10"/>
        </w:rPr>
        <w:t xml:space="preserve"> 年</w:t>
      </w:r>
      <w:r>
        <w:rPr>
          <w:rFonts w:hint="eastAsia"/>
          <w:spacing w:val="-10"/>
          <w:lang w:eastAsia="zh-CN"/>
        </w:rPr>
        <w:t>“</w:t>
      </w:r>
      <w:r>
        <w:rPr>
          <w:rFonts w:hint="eastAsia"/>
          <w:spacing w:val="-10"/>
          <w:lang w:val="en-US" w:eastAsia="zh-CN"/>
        </w:rPr>
        <w:t>三公</w:t>
      </w:r>
      <w:r>
        <w:rPr>
          <w:rFonts w:hint="eastAsia"/>
          <w:spacing w:val="-10"/>
          <w:lang w:eastAsia="zh-CN"/>
        </w:rPr>
        <w:t>”</w:t>
      </w:r>
      <w:r>
        <w:rPr>
          <w:rFonts w:hint="eastAsia"/>
          <w:spacing w:val="-10"/>
          <w:lang w:val="en-US" w:eastAsia="zh-CN"/>
        </w:rPr>
        <w:t>经费支出</w:t>
      </w:r>
      <w:r>
        <w:rPr>
          <w:spacing w:val="-10"/>
        </w:rPr>
        <w:t>为零。</w:t>
      </w: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  <w:spacing w:val="-15"/>
        </w:rPr>
      </w:pPr>
    </w:p>
    <w:p>
      <w:pPr>
        <w:pStyle w:val="6"/>
        <w:spacing w:before="43"/>
        <w:ind w:left="0" w:leftChars="0" w:right="748" w:rightChars="340" w:firstLine="870" w:firstLineChars="300"/>
        <w:rPr>
          <w:rFonts w:hint="eastAsia" w:ascii="黑体" w:eastAsia="黑体"/>
        </w:rPr>
      </w:pPr>
      <w:r>
        <w:rPr>
          <w:rFonts w:hint="eastAsia" w:ascii="宋体" w:hAnsi="宋体" w:eastAsia="宋体" w:cs="宋体"/>
          <w:spacing w:val="-15"/>
        </w:rPr>
        <w:t>十一、</w:t>
      </w:r>
      <w:r>
        <w:rPr>
          <w:rFonts w:hint="eastAsia" w:ascii="宋体" w:hAnsi="宋体" w:eastAsia="宋体" w:cs="宋体"/>
          <w:spacing w:val="-15"/>
          <w:lang w:val="en-US" w:eastAsia="zh-CN"/>
        </w:rPr>
        <w:t>大同市中医医院</w:t>
      </w:r>
      <w:r>
        <w:rPr>
          <w:rFonts w:hint="eastAsia" w:ascii="宋体" w:hAnsi="宋体" w:eastAsia="宋体" w:cs="宋体"/>
          <w:spacing w:val="-15"/>
        </w:rPr>
        <w:t xml:space="preserve"> </w:t>
      </w:r>
      <w:r>
        <w:rPr>
          <w:rFonts w:hint="eastAsia" w:ascii="宋体" w:hAnsi="宋体" w:eastAsia="宋体" w:cs="宋体"/>
        </w:rPr>
        <w:t>2022</w:t>
      </w:r>
      <w:r>
        <w:rPr>
          <w:rFonts w:hint="eastAsia" w:ascii="宋体" w:hAnsi="宋体" w:eastAsia="宋体" w:cs="宋体"/>
          <w:spacing w:val="-79"/>
        </w:rPr>
        <w:t xml:space="preserve"> </w:t>
      </w:r>
      <w:r>
        <w:rPr>
          <w:rFonts w:hint="eastAsia" w:ascii="宋体" w:hAnsi="宋体" w:eastAsia="宋体" w:cs="宋体"/>
        </w:rPr>
        <w:t>年机关运行经费预算财政拨款情况</w:t>
      </w:r>
      <w:r>
        <w:rPr>
          <w:rFonts w:hint="eastAsia" w:ascii="宋体" w:hAnsi="宋体" w:eastAsia="宋体" w:cs="宋体"/>
          <w:w w:val="99"/>
        </w:rPr>
        <w:t>表</w:t>
      </w:r>
    </w:p>
    <w:p>
      <w:pPr>
        <w:pStyle w:val="6"/>
        <w:spacing w:before="0"/>
        <w:ind w:left="0"/>
        <w:rPr>
          <w:rFonts w:ascii="黑体"/>
          <w:sz w:val="20"/>
        </w:rPr>
      </w:pPr>
    </w:p>
    <w:p>
      <w:pPr>
        <w:pStyle w:val="6"/>
        <w:spacing w:before="9"/>
        <w:ind w:left="0"/>
        <w:rPr>
          <w:rFonts w:ascii="黑体"/>
          <w:sz w:val="12"/>
        </w:rPr>
      </w:pPr>
    </w:p>
    <w:p>
      <w:pPr>
        <w:spacing w:after="0"/>
        <w:jc w:val="center"/>
      </w:pPr>
      <w:r>
        <w:drawing>
          <wp:inline distT="0" distB="0" distL="114300" distR="114300">
            <wp:extent cx="5727065" cy="1947545"/>
            <wp:effectExtent l="0" t="0" r="6985" b="508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</w:p>
    <w:p>
      <w:pPr>
        <w:pStyle w:val="6"/>
        <w:spacing w:before="256" w:line="350" w:lineRule="auto"/>
        <w:ind w:right="725" w:firstLine="640"/>
        <w:sectPr>
          <w:footerReference r:id="rId4" w:type="default"/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  <w:r>
        <w:rPr>
          <w:spacing w:val="-13"/>
        </w:rPr>
        <w:t>说明：</w:t>
      </w:r>
      <w:r>
        <w:rPr>
          <w:rFonts w:hint="eastAsia"/>
          <w:spacing w:val="-13"/>
          <w:lang w:val="en-US" w:eastAsia="zh-CN"/>
        </w:rPr>
        <w:t>大同市中医医院</w:t>
      </w:r>
      <w:r>
        <w:rPr>
          <w:spacing w:val="-13"/>
        </w:rPr>
        <w:t xml:space="preserve"> </w:t>
      </w:r>
      <w:r>
        <w:t>2022</w:t>
      </w:r>
      <w:r>
        <w:rPr>
          <w:spacing w:val="-10"/>
        </w:rPr>
        <w:t xml:space="preserve"> 年</w:t>
      </w:r>
      <w:r>
        <w:rPr>
          <w:rFonts w:hint="eastAsia"/>
          <w:spacing w:val="-13"/>
          <w:lang w:val="en-US" w:eastAsia="zh-CN"/>
        </w:rPr>
        <w:t>机关运行经费预算财政拨款</w:t>
      </w:r>
      <w:r>
        <w:rPr>
          <w:spacing w:val="-10"/>
        </w:rPr>
        <w:t>为零</w:t>
      </w:r>
    </w:p>
    <w:p>
      <w:pPr>
        <w:pStyle w:val="4"/>
        <w:tabs>
          <w:tab w:val="left" w:pos="1799"/>
        </w:tabs>
        <w:ind w:firstLine="2160" w:firstLineChars="600"/>
        <w:jc w:val="both"/>
      </w:pPr>
      <w:bookmarkStart w:id="1" w:name="_TOC_250000"/>
    </w:p>
    <w:p/>
    <w:p>
      <w:pPr>
        <w:pStyle w:val="2"/>
      </w:pPr>
    </w:p>
    <w:p>
      <w:pPr>
        <w:pStyle w:val="2"/>
        <w:ind w:left="0" w:leftChars="0" w:firstLine="0" w:firstLineChars="0"/>
      </w:pPr>
    </w:p>
    <w:p>
      <w:pPr>
        <w:pStyle w:val="2"/>
      </w:pPr>
    </w:p>
    <w:p>
      <w:pPr>
        <w:pStyle w:val="4"/>
        <w:tabs>
          <w:tab w:val="left" w:pos="1799"/>
        </w:tabs>
        <w:ind w:firstLine="2160" w:firstLineChars="600"/>
        <w:jc w:val="both"/>
      </w:pPr>
      <w:r>
        <w:t>第三部分</w:t>
      </w:r>
      <w:r>
        <w:tab/>
      </w:r>
      <w:r>
        <w:t>2022</w:t>
      </w:r>
      <w:r>
        <w:rPr>
          <w:spacing w:val="-89"/>
        </w:rPr>
        <w:t xml:space="preserve"> </w:t>
      </w:r>
      <w:bookmarkEnd w:id="1"/>
      <w:r>
        <w:t>年度预算情况说明</w:t>
      </w:r>
    </w:p>
    <w:p>
      <w:pPr>
        <w:pStyle w:val="6"/>
        <w:spacing w:before="181"/>
        <w:ind w:left="967"/>
        <w:rPr>
          <w:rFonts w:hint="eastAsia" w:ascii="黑体" w:eastAsia="黑体"/>
        </w:rPr>
      </w:pPr>
      <w:r>
        <w:rPr>
          <w:rFonts w:hint="eastAsia" w:ascii="黑体" w:eastAsia="黑体"/>
        </w:rPr>
        <w:t>一、</w:t>
      </w:r>
      <w:r>
        <w:rPr>
          <w:rFonts w:hint="eastAsia" w:ascii="仿宋" w:eastAsia="仿宋"/>
        </w:rPr>
        <w:t>2022</w:t>
      </w:r>
      <w:r>
        <w:rPr>
          <w:rFonts w:hint="eastAsia" w:ascii="仿宋" w:eastAsia="仿宋"/>
          <w:spacing w:val="-79"/>
        </w:rPr>
        <w:t xml:space="preserve"> </w:t>
      </w:r>
      <w:r>
        <w:rPr>
          <w:rFonts w:hint="eastAsia" w:ascii="黑体" w:eastAsia="黑体"/>
        </w:rPr>
        <w:t>年度部门预算数据变动情况及原因</w:t>
      </w:r>
    </w:p>
    <w:p>
      <w:pPr>
        <w:pStyle w:val="6"/>
        <w:spacing w:before="181"/>
        <w:ind w:left="967"/>
        <w:rPr>
          <w:rFonts w:hint="eastAsia" w:ascii="黑体" w:eastAsia="黑体"/>
          <w:sz w:val="10"/>
          <w:szCs w:val="10"/>
        </w:rPr>
      </w:pPr>
    </w:p>
    <w:p>
      <w:pPr>
        <w:pStyle w:val="6"/>
        <w:ind w:left="967"/>
      </w:pPr>
      <w:r>
        <w:t>（一）本年预算收支安排情况</w:t>
      </w:r>
    </w:p>
    <w:p>
      <w:pPr>
        <w:pStyle w:val="6"/>
        <w:spacing w:line="350" w:lineRule="auto"/>
        <w:ind w:right="725" w:firstLine="640"/>
        <w:jc w:val="both"/>
        <w:rPr>
          <w:sz w:val="10"/>
          <w:szCs w:val="10"/>
        </w:rPr>
      </w:pPr>
      <w:r>
        <w:t>2022</w:t>
      </w:r>
      <w:r>
        <w:rPr>
          <w:spacing w:val="-19"/>
        </w:rPr>
        <w:t xml:space="preserve"> 年，</w:t>
      </w:r>
      <w:r>
        <w:rPr>
          <w:rFonts w:hint="eastAsia"/>
          <w:spacing w:val="-19"/>
          <w:lang w:val="en-US" w:eastAsia="zh-CN"/>
        </w:rPr>
        <w:t>大同市中医医院</w:t>
      </w:r>
      <w:r>
        <w:rPr>
          <w:spacing w:val="-19"/>
        </w:rPr>
        <w:t xml:space="preserve">部门预算收入总计 </w:t>
      </w:r>
      <w:r>
        <w:rPr>
          <w:rFonts w:hint="eastAsia"/>
          <w:lang w:val="en-US" w:eastAsia="zh-CN"/>
        </w:rPr>
        <w:t>7436.42</w:t>
      </w:r>
      <w:r>
        <w:rPr>
          <w:spacing w:val="-31"/>
        </w:rPr>
        <w:t>万元，</w:t>
      </w:r>
      <w:r>
        <w:rPr>
          <w:rFonts w:hint="eastAsia"/>
          <w:spacing w:val="-31"/>
          <w:lang w:val="en-US" w:eastAsia="zh-CN"/>
        </w:rPr>
        <w:t>其中</w:t>
      </w:r>
      <w:r>
        <w:rPr>
          <w:spacing w:val="4"/>
          <w:w w:val="95"/>
        </w:rPr>
        <w:t>一般公共预算</w:t>
      </w:r>
      <w:r>
        <w:rPr>
          <w:rFonts w:hint="eastAsia"/>
          <w:spacing w:val="4"/>
          <w:w w:val="95"/>
          <w:lang w:val="en-US" w:eastAsia="zh-CN"/>
        </w:rPr>
        <w:t>2436.42万元、</w:t>
      </w:r>
      <w:r>
        <w:rPr>
          <w:spacing w:val="4"/>
          <w:w w:val="95"/>
        </w:rPr>
        <w:t>政府性基金预算</w:t>
      </w:r>
      <w:r>
        <w:rPr>
          <w:rFonts w:hint="eastAsia"/>
          <w:spacing w:val="4"/>
          <w:w w:val="95"/>
          <w:lang w:val="en-US" w:eastAsia="zh-CN"/>
        </w:rPr>
        <w:t>1000万元、单位资金4000万元，无</w:t>
      </w:r>
      <w:r>
        <w:rPr>
          <w:spacing w:val="4"/>
          <w:w w:val="95"/>
        </w:rPr>
        <w:t>国有资金经营预算。</w:t>
      </w:r>
      <w:r>
        <w:rPr>
          <w:spacing w:val="-6"/>
        </w:rPr>
        <w:t>本年收入合计</w:t>
      </w:r>
      <w:r>
        <w:rPr>
          <w:rFonts w:hint="eastAsia"/>
          <w:spacing w:val="-6"/>
          <w:lang w:val="en-US" w:eastAsia="zh-CN"/>
        </w:rPr>
        <w:t>7436.42</w:t>
      </w:r>
      <w:r>
        <w:rPr>
          <w:spacing w:val="-16"/>
        </w:rPr>
        <w:t>万元，</w:t>
      </w:r>
      <w:r>
        <w:rPr>
          <w:spacing w:val="-10"/>
        </w:rPr>
        <w:t>本年</w:t>
      </w:r>
      <w:r>
        <w:rPr>
          <w:spacing w:val="-13"/>
        </w:rPr>
        <w:t xml:space="preserve">预算支出总计 </w:t>
      </w:r>
      <w:r>
        <w:rPr>
          <w:rFonts w:hint="eastAsia"/>
          <w:lang w:val="en-US" w:eastAsia="zh-CN"/>
        </w:rPr>
        <w:t>7436.42</w:t>
      </w:r>
      <w:r>
        <w:rPr>
          <w:spacing w:val="-23"/>
        </w:rPr>
        <w:t xml:space="preserve">万元，其中，当年预算安排支出 </w:t>
      </w:r>
      <w:r>
        <w:rPr>
          <w:rFonts w:hint="eastAsia"/>
          <w:lang w:val="en-US" w:eastAsia="zh-CN"/>
        </w:rPr>
        <w:t>7436.42</w:t>
      </w:r>
      <w:r>
        <w:t>万元。</w:t>
      </w:r>
    </w:p>
    <w:p>
      <w:pPr>
        <w:pStyle w:val="6"/>
        <w:spacing w:before="173"/>
        <w:ind w:left="967"/>
      </w:pPr>
      <w:r>
        <w:t>（二）较上年预算比较变动情况</w:t>
      </w:r>
    </w:p>
    <w:p>
      <w:pPr>
        <w:pStyle w:val="6"/>
        <w:spacing w:before="187"/>
        <w:ind w:left="967"/>
      </w:pPr>
      <w:r>
        <w:t>2022</w:t>
      </w:r>
      <w:r>
        <w:rPr>
          <w:spacing w:val="-9"/>
        </w:rPr>
        <w:t xml:space="preserve"> 年</w:t>
      </w:r>
      <w:r>
        <w:rPr>
          <w:rFonts w:hint="eastAsia"/>
          <w:spacing w:val="-9"/>
          <w:lang w:val="en-US" w:eastAsia="zh-CN"/>
        </w:rPr>
        <w:t>大同市中医医院</w:t>
      </w:r>
      <w:r>
        <w:rPr>
          <w:spacing w:val="-9"/>
        </w:rPr>
        <w:t>部门收入、支出预算与上年年初收入、</w:t>
      </w:r>
    </w:p>
    <w:p>
      <w:pPr>
        <w:pStyle w:val="6"/>
        <w:spacing w:line="350" w:lineRule="auto"/>
        <w:ind w:right="725"/>
        <w:jc w:val="both"/>
        <w:rPr>
          <w:rFonts w:hint="eastAsia"/>
          <w:spacing w:val="-20"/>
          <w:lang w:eastAsia="zh-CN"/>
        </w:rPr>
      </w:pPr>
      <w:r>
        <w:rPr>
          <w:spacing w:val="-14"/>
        </w:rPr>
        <w:t>支出预算</w:t>
      </w:r>
      <w:r>
        <w:rPr>
          <w:rFonts w:hint="eastAsia"/>
          <w:spacing w:val="-14"/>
          <w:highlight w:val="none"/>
          <w:lang w:val="en-US" w:eastAsia="zh-CN"/>
        </w:rPr>
        <w:t>9578.3</w:t>
      </w:r>
      <w:r>
        <w:rPr>
          <w:spacing w:val="-15"/>
        </w:rPr>
        <w:t>万元比较，减少</w:t>
      </w:r>
      <w:r>
        <w:rPr>
          <w:rFonts w:hint="eastAsia"/>
          <w:spacing w:val="-15"/>
          <w:highlight w:val="none"/>
          <w:lang w:val="en-US" w:eastAsia="zh-CN"/>
        </w:rPr>
        <w:t>2141.88</w:t>
      </w:r>
      <w:r>
        <w:rPr>
          <w:spacing w:val="-6"/>
        </w:rPr>
        <w:t>万元。</w:t>
      </w:r>
      <w:r>
        <w:rPr>
          <w:rFonts w:hint="eastAsia"/>
          <w:spacing w:val="-6"/>
          <w:lang w:eastAsia="zh-CN"/>
        </w:rPr>
        <w:t>主要</w:t>
      </w:r>
      <w:r>
        <w:t>原因：</w:t>
      </w:r>
      <w:r>
        <w:rPr>
          <w:rFonts w:hint="eastAsia"/>
          <w:lang w:eastAsia="zh-CN"/>
        </w:rPr>
        <w:t>一是</w:t>
      </w:r>
      <w:r>
        <w:rPr>
          <w:spacing w:val="-17"/>
        </w:rPr>
        <w:t>项目变化，</w:t>
      </w:r>
      <w:r>
        <w:rPr>
          <w:spacing w:val="-14"/>
        </w:rPr>
        <w:t>2022</w:t>
      </w:r>
      <w:r>
        <w:rPr>
          <w:spacing w:val="-15"/>
        </w:rPr>
        <w:t xml:space="preserve"> 年项目变动</w:t>
      </w:r>
      <w:r>
        <w:rPr>
          <w:spacing w:val="-20"/>
        </w:rPr>
        <w:t>导致部门整体项目支出预算</w:t>
      </w:r>
      <w:r>
        <w:rPr>
          <w:rFonts w:hint="eastAsia"/>
          <w:spacing w:val="-20"/>
          <w:lang w:eastAsia="zh-CN"/>
        </w:rPr>
        <w:t>减少</w:t>
      </w:r>
      <w:r>
        <w:rPr>
          <w:rFonts w:hint="eastAsia"/>
          <w:spacing w:val="-20"/>
          <w:lang w:val="en-US" w:eastAsia="zh-CN"/>
        </w:rPr>
        <w:t>2199.56</w:t>
      </w:r>
      <w:r>
        <w:rPr>
          <w:spacing w:val="-20"/>
        </w:rPr>
        <w:t xml:space="preserve"> 万元。</w:t>
      </w:r>
      <w:r>
        <w:rPr>
          <w:rFonts w:hint="eastAsia"/>
          <w:spacing w:val="-20"/>
          <w:lang w:eastAsia="zh-CN"/>
        </w:rPr>
        <w:t>二是基本支出变化，</w:t>
      </w:r>
      <w:r>
        <w:rPr>
          <w:rFonts w:hint="eastAsia"/>
          <w:spacing w:val="-20"/>
          <w:lang w:val="en-US" w:eastAsia="zh-CN"/>
        </w:rPr>
        <w:t>2</w:t>
      </w:r>
      <w:r>
        <w:rPr>
          <w:spacing w:val="-14"/>
        </w:rPr>
        <w:t>022</w:t>
      </w:r>
      <w:r>
        <w:rPr>
          <w:spacing w:val="-15"/>
        </w:rPr>
        <w:t xml:space="preserve"> 年</w:t>
      </w:r>
      <w:r>
        <w:rPr>
          <w:rFonts w:hint="eastAsia"/>
          <w:spacing w:val="-15"/>
          <w:lang w:eastAsia="zh-CN"/>
        </w:rPr>
        <w:t>人员基本工资调整</w:t>
      </w:r>
      <w:r>
        <w:rPr>
          <w:spacing w:val="-20"/>
        </w:rPr>
        <w:t>导致部门整体</w:t>
      </w:r>
      <w:r>
        <w:rPr>
          <w:rFonts w:hint="eastAsia"/>
          <w:spacing w:val="-20"/>
          <w:lang w:eastAsia="zh-CN"/>
        </w:rPr>
        <w:t>基本</w:t>
      </w:r>
      <w:r>
        <w:rPr>
          <w:spacing w:val="-20"/>
        </w:rPr>
        <w:t>支出预算</w:t>
      </w:r>
      <w:r>
        <w:rPr>
          <w:rFonts w:hint="eastAsia"/>
          <w:spacing w:val="-20"/>
          <w:lang w:eastAsia="zh-CN"/>
        </w:rPr>
        <w:t>增加</w:t>
      </w:r>
      <w:r>
        <w:rPr>
          <w:rFonts w:hint="eastAsia"/>
          <w:spacing w:val="-20"/>
          <w:lang w:val="en-US" w:eastAsia="zh-CN"/>
        </w:rPr>
        <w:t>57.68</w:t>
      </w:r>
      <w:r>
        <w:rPr>
          <w:spacing w:val="-20"/>
        </w:rPr>
        <w:t xml:space="preserve"> 万元</w:t>
      </w:r>
      <w:r>
        <w:rPr>
          <w:rFonts w:hint="eastAsia"/>
          <w:spacing w:val="-20"/>
          <w:lang w:eastAsia="zh-CN"/>
        </w:rPr>
        <w:t>。</w:t>
      </w:r>
    </w:p>
    <w:p>
      <w:pPr>
        <w:pStyle w:val="6"/>
        <w:spacing w:line="350" w:lineRule="auto"/>
        <w:ind w:right="725"/>
        <w:jc w:val="both"/>
        <w:rPr>
          <w:rFonts w:hint="eastAsia"/>
          <w:spacing w:val="-20"/>
          <w:sz w:val="10"/>
          <w:szCs w:val="10"/>
          <w:lang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969"/>
        <w:textAlignment w:val="auto"/>
      </w:pPr>
      <w:r>
        <w:t>（三）本年预算具体构成情况</w:t>
      </w:r>
    </w:p>
    <w:p>
      <w:pPr>
        <w:pStyle w:val="6"/>
        <w:spacing w:before="0" w:line="338" w:lineRule="auto"/>
        <w:ind w:right="725" w:firstLine="640" w:firstLineChars="200"/>
        <w:jc w:val="both"/>
        <w:rPr>
          <w:rFonts w:hint="eastAsia" w:eastAsia="宋体"/>
          <w:lang w:eastAsia="zh-CN"/>
        </w:rPr>
      </w:pPr>
      <w:r>
        <w:t>从功能科目看，2022 年</w:t>
      </w:r>
      <w:r>
        <w:rPr>
          <w:rFonts w:hint="eastAsia"/>
          <w:lang w:eastAsia="zh-CN"/>
        </w:rPr>
        <w:t>大同市中医医院</w:t>
      </w:r>
      <w:r>
        <w:rPr>
          <w:rFonts w:hint="eastAsia"/>
        </w:rPr>
        <w:t>社会保障和就业支出</w:t>
      </w:r>
      <w:r>
        <w:rPr>
          <w:spacing w:val="6"/>
        </w:rPr>
        <w:t>预算</w:t>
      </w:r>
      <w:r>
        <w:rPr>
          <w:rFonts w:hint="eastAsia"/>
          <w:spacing w:val="6"/>
          <w:lang w:val="en-US" w:eastAsia="zh-CN"/>
        </w:rPr>
        <w:t>332.09</w:t>
      </w:r>
      <w:r>
        <w:rPr>
          <w:spacing w:val="-9"/>
        </w:rPr>
        <w:t>万元，</w:t>
      </w:r>
      <w:r>
        <w:rPr>
          <w:spacing w:val="-18"/>
        </w:rPr>
        <w:t xml:space="preserve">卫生健康支出预算 </w:t>
      </w:r>
      <w:r>
        <w:rPr>
          <w:rFonts w:hint="eastAsia"/>
          <w:lang w:val="en-US" w:eastAsia="zh-CN"/>
        </w:rPr>
        <w:t>6074.52</w:t>
      </w:r>
      <w:r>
        <w:rPr>
          <w:spacing w:val="-15"/>
        </w:rPr>
        <w:t>万元，</w:t>
      </w:r>
      <w:r>
        <w:rPr>
          <w:rFonts w:hint="eastAsia"/>
          <w:spacing w:val="-17"/>
        </w:rPr>
        <w:t>城乡社区支出</w:t>
      </w:r>
      <w:r>
        <w:rPr>
          <w:spacing w:val="-17"/>
        </w:rPr>
        <w:t xml:space="preserve">支出预算 </w:t>
      </w:r>
      <w:r>
        <w:rPr>
          <w:rFonts w:hint="eastAsia"/>
          <w:lang w:val="en-US" w:eastAsia="zh-CN"/>
        </w:rPr>
        <w:t>1000</w:t>
      </w:r>
      <w:r>
        <w:rPr>
          <w:spacing w:val="-12"/>
        </w:rPr>
        <w:t>万元，</w:t>
      </w:r>
      <w:r>
        <w:rPr>
          <w:rFonts w:hint="eastAsia"/>
          <w:spacing w:val="-12"/>
        </w:rPr>
        <w:t>住房保障支出</w:t>
      </w:r>
      <w:r>
        <w:rPr>
          <w:rFonts w:hint="eastAsia"/>
          <w:spacing w:val="-12"/>
          <w:lang w:val="en-US" w:eastAsia="zh-CN"/>
        </w:rPr>
        <w:t>29.81万元，</w:t>
      </w:r>
      <w:r>
        <w:rPr>
          <w:spacing w:val="-15"/>
        </w:rPr>
        <w:t>全部为本</w:t>
      </w:r>
      <w:r>
        <w:rPr>
          <w:spacing w:val="-17"/>
        </w:rPr>
        <w:t>年预算收入</w:t>
      </w:r>
      <w:r>
        <w:rPr>
          <w:rFonts w:hint="eastAsia"/>
          <w:spacing w:val="-17"/>
          <w:lang w:eastAsia="zh-CN"/>
        </w:rPr>
        <w:t>。</w:t>
      </w:r>
    </w:p>
    <w:p>
      <w:pPr>
        <w:pStyle w:val="6"/>
        <w:spacing w:before="0" w:line="338" w:lineRule="auto"/>
        <w:ind w:right="725" w:firstLine="640" w:firstLineChars="200"/>
        <w:jc w:val="both"/>
      </w:pPr>
      <w:r>
        <w:rPr>
          <w:rFonts w:ascii="宋体" w:hAnsi="宋体" w:eastAsia="宋体" w:cs="宋体"/>
        </w:rPr>
        <w:t>从支出性质和经济分类看，2022 年</w:t>
      </w:r>
      <w:r>
        <w:rPr>
          <w:rFonts w:hint="eastAsia" w:ascii="宋体" w:hAnsi="宋体" w:eastAsia="宋体" w:cs="宋体"/>
          <w:lang w:eastAsia="zh-CN"/>
        </w:rPr>
        <w:t>大同市中医医院</w:t>
      </w:r>
      <w:r>
        <w:rPr>
          <w:rFonts w:ascii="宋体" w:hAnsi="宋体" w:eastAsia="宋体" w:cs="宋体"/>
        </w:rPr>
        <w:t>基本支预算</w:t>
      </w:r>
      <w:r>
        <w:rPr>
          <w:rFonts w:hint="eastAsia" w:ascii="宋体" w:hAnsi="宋体" w:eastAsia="宋体" w:cs="宋体"/>
          <w:lang w:val="en-US" w:eastAsia="zh-CN"/>
        </w:rPr>
        <w:t>1758.52</w:t>
      </w:r>
      <w:r>
        <w:rPr>
          <w:rFonts w:ascii="宋体" w:hAnsi="宋体" w:eastAsia="宋体" w:cs="宋体"/>
        </w:rPr>
        <w:t xml:space="preserve"> 万元，包含：工资福利支出 </w:t>
      </w:r>
      <w:r>
        <w:rPr>
          <w:rFonts w:hint="eastAsia" w:ascii="宋体" w:hAnsi="宋体" w:eastAsia="宋体" w:cs="宋体"/>
          <w:lang w:val="en-US" w:eastAsia="zh-CN"/>
        </w:rPr>
        <w:t>1738.08</w:t>
      </w:r>
      <w:r>
        <w:rPr>
          <w:rFonts w:ascii="宋体" w:hAnsi="宋体" w:eastAsia="宋体" w:cs="宋体"/>
        </w:rPr>
        <w:t xml:space="preserve"> 万元，商品和服务支出 </w:t>
      </w:r>
      <w:r>
        <w:rPr>
          <w:rFonts w:hint="eastAsia" w:ascii="宋体" w:hAnsi="宋体" w:eastAsia="宋体" w:cs="宋体"/>
          <w:lang w:val="en-US" w:eastAsia="zh-CN"/>
        </w:rPr>
        <w:t>8.28</w:t>
      </w:r>
      <w:r>
        <w:rPr>
          <w:rFonts w:ascii="宋体" w:hAnsi="宋体" w:eastAsia="宋体" w:cs="宋体"/>
        </w:rPr>
        <w:t xml:space="preserve"> 万元，</w:t>
      </w:r>
      <w:r>
        <w:rPr>
          <w:rFonts w:hint="eastAsia" w:ascii="宋体" w:hAnsi="宋体" w:eastAsia="宋体" w:cs="宋体"/>
          <w:lang w:eastAsia="zh-CN"/>
        </w:rPr>
        <w:t>社会福利与救助</w:t>
      </w:r>
      <w:r>
        <w:rPr>
          <w:rFonts w:ascii="宋体" w:hAnsi="宋体" w:eastAsia="宋体" w:cs="宋体"/>
        </w:rPr>
        <w:t xml:space="preserve">支出 </w:t>
      </w:r>
      <w:r>
        <w:rPr>
          <w:rFonts w:hint="eastAsia" w:ascii="宋体" w:hAnsi="宋体" w:eastAsia="宋体" w:cs="宋体"/>
          <w:lang w:val="en-US" w:eastAsia="zh-CN"/>
        </w:rPr>
        <w:t>3.33</w:t>
      </w:r>
      <w:r>
        <w:rPr>
          <w:rFonts w:ascii="宋体" w:hAnsi="宋体" w:eastAsia="宋体" w:cs="宋体"/>
        </w:rPr>
        <w:t xml:space="preserve"> 万元，</w:t>
      </w:r>
      <w:r>
        <w:rPr>
          <w:rFonts w:hint="eastAsia" w:ascii="宋体" w:hAnsi="宋体" w:eastAsia="宋体" w:cs="宋体"/>
          <w:lang w:eastAsia="zh-CN"/>
        </w:rPr>
        <w:t>离退费</w:t>
      </w:r>
      <w:r>
        <w:rPr>
          <w:rFonts w:hint="eastAsia" w:ascii="宋体" w:hAnsi="宋体" w:eastAsia="宋体" w:cs="宋体"/>
          <w:lang w:val="en-US" w:eastAsia="zh-CN"/>
        </w:rPr>
        <w:t>8.83万元。</w:t>
      </w:r>
      <w:r>
        <w:rPr>
          <w:rFonts w:ascii="宋体" w:hAnsi="宋体" w:eastAsia="宋体" w:cs="宋体"/>
        </w:rPr>
        <w:t>项目支出预算</w:t>
      </w:r>
      <w:r>
        <w:rPr>
          <w:rFonts w:hint="eastAsia" w:ascii="宋体" w:hAnsi="宋体" w:eastAsia="宋体" w:cs="宋体"/>
          <w:lang w:val="en-US" w:eastAsia="zh-CN"/>
        </w:rPr>
        <w:t>合计共5677.9</w:t>
      </w:r>
      <w:r>
        <w:rPr>
          <w:rFonts w:ascii="宋体" w:hAnsi="宋体" w:eastAsia="宋体" w:cs="宋体"/>
        </w:rPr>
        <w:t>万元</w:t>
      </w:r>
      <w:r>
        <w:rPr>
          <w:rFonts w:hint="eastAsia" w:ascii="宋体" w:hAnsi="宋体" w:eastAsia="宋体" w:cs="宋体"/>
          <w:lang w:eastAsia="zh-CN"/>
        </w:rPr>
        <w:t>，</w:t>
      </w:r>
      <w:r>
        <w:rPr>
          <w:rFonts w:hint="eastAsia" w:ascii="宋体" w:hAnsi="宋体" w:eastAsia="宋体" w:cs="宋体"/>
          <w:lang w:val="en-US" w:eastAsia="zh-CN"/>
        </w:rPr>
        <w:t>其中一般公共预算677.9万元、政府性基金1000万元、单位资金4000万元</w:t>
      </w:r>
      <w:r>
        <w:rPr>
          <w:rFonts w:ascii="宋体" w:hAnsi="宋体" w:eastAsia="宋体" w:cs="宋体"/>
        </w:rPr>
        <w:t>。</w:t>
      </w:r>
    </w:p>
    <w:p>
      <w:pPr>
        <w:pStyle w:val="6"/>
        <w:spacing w:before="168"/>
        <w:ind w:left="967"/>
      </w:pPr>
      <w:r>
        <w:t>（四）较上年预算比较原因分析</w:t>
      </w:r>
    </w:p>
    <w:p>
      <w:pPr>
        <w:pStyle w:val="6"/>
        <w:spacing w:before="171" w:line="338" w:lineRule="auto"/>
        <w:ind w:right="566" w:firstLine="640" w:firstLineChars="200"/>
        <w:jc w:val="both"/>
      </w:pPr>
      <w:r>
        <w:t>基本支出方面，2022</w:t>
      </w:r>
      <w:r>
        <w:rPr>
          <w:spacing w:val="-34"/>
        </w:rPr>
        <w:t xml:space="preserve"> 年</w:t>
      </w:r>
      <w:r>
        <w:rPr>
          <w:spacing w:val="-47"/>
        </w:rPr>
        <w:t xml:space="preserve">预算为 </w:t>
      </w:r>
      <w:r>
        <w:rPr>
          <w:rFonts w:hint="eastAsia"/>
          <w:lang w:val="en-US" w:eastAsia="zh-CN"/>
        </w:rPr>
        <w:t>1758.52</w:t>
      </w:r>
      <w:r>
        <w:rPr>
          <w:spacing w:val="-33"/>
        </w:rPr>
        <w:t xml:space="preserve"> 万元，较 </w:t>
      </w:r>
      <w:r>
        <w:t>2021</w:t>
      </w:r>
      <w:r>
        <w:rPr>
          <w:spacing w:val="-15"/>
        </w:rPr>
        <w:t xml:space="preserve"> 年部门基本支出</w:t>
      </w:r>
      <w:r>
        <w:rPr>
          <w:rFonts w:hint="eastAsia"/>
          <w:spacing w:val="-28"/>
          <w:lang w:val="en-US" w:eastAsia="zh-CN"/>
        </w:rPr>
        <w:t>1700.84</w:t>
      </w:r>
      <w:r>
        <w:t xml:space="preserve">万元相比，增加 </w:t>
      </w:r>
      <w:r>
        <w:rPr>
          <w:rFonts w:hint="eastAsia"/>
          <w:lang w:val="en-US" w:eastAsia="zh-CN"/>
        </w:rPr>
        <w:t>57.68</w:t>
      </w:r>
      <w:r>
        <w:t xml:space="preserve"> 万元。原因是</w:t>
      </w:r>
      <w:r>
        <w:rPr>
          <w:rFonts w:hint="eastAsia"/>
          <w:lang w:eastAsia="zh-CN"/>
        </w:rPr>
        <w:t>在编职工调增一级薪级工资，同时增加新入编职工</w:t>
      </w:r>
      <w:r>
        <w:rPr>
          <w:rFonts w:hint="eastAsia"/>
          <w:lang w:val="en-US" w:eastAsia="zh-CN"/>
        </w:rPr>
        <w:t>19</w:t>
      </w:r>
      <w:r>
        <w:rPr>
          <w:rFonts w:hint="eastAsia"/>
          <w:lang w:eastAsia="zh-CN"/>
        </w:rPr>
        <w:t>人</w:t>
      </w:r>
      <w:r>
        <w:rPr>
          <w:spacing w:val="-7"/>
        </w:rPr>
        <w:t>。</w:t>
      </w:r>
    </w:p>
    <w:p>
      <w:pPr>
        <w:pStyle w:val="6"/>
        <w:spacing w:before="5" w:line="340" w:lineRule="auto"/>
        <w:ind w:right="725" w:firstLine="640"/>
        <w:jc w:val="both"/>
      </w:pPr>
      <w:r>
        <w:t>项目支出方面，2022</w:t>
      </w:r>
      <w:r>
        <w:rPr>
          <w:spacing w:val="-24"/>
        </w:rPr>
        <w:t xml:space="preserve"> 年预算合计 </w:t>
      </w:r>
      <w:r>
        <w:rPr>
          <w:rFonts w:hint="eastAsia"/>
          <w:lang w:val="en-US" w:eastAsia="zh-CN"/>
        </w:rPr>
        <w:t>5677.9</w:t>
      </w:r>
      <w:r>
        <w:rPr>
          <w:spacing w:val="-10"/>
        </w:rPr>
        <w:t xml:space="preserve"> 万元，</w:t>
      </w:r>
      <w:r>
        <w:rPr>
          <w:spacing w:val="-14"/>
        </w:rPr>
        <w:t>就当年预算</w:t>
      </w:r>
      <w:r>
        <w:rPr>
          <w:spacing w:val="-17"/>
        </w:rPr>
        <w:t xml:space="preserve">安排来看，较 </w:t>
      </w:r>
      <w:r>
        <w:t>2021</w:t>
      </w:r>
      <w:r>
        <w:rPr>
          <w:spacing w:val="-12"/>
        </w:rPr>
        <w:t xml:space="preserve"> 年部门项目支出年初预算</w:t>
      </w:r>
      <w:r>
        <w:rPr>
          <w:rFonts w:hint="eastAsia"/>
          <w:lang w:val="en-US" w:eastAsia="zh-CN"/>
        </w:rPr>
        <w:t>7877.46</w:t>
      </w:r>
      <w:r>
        <w:rPr>
          <w:spacing w:val="-19"/>
        </w:rPr>
        <w:t>万元相比，</w:t>
      </w:r>
      <w:r>
        <w:rPr>
          <w:rFonts w:hint="eastAsia"/>
          <w:spacing w:val="-19"/>
          <w:lang w:eastAsia="zh-CN"/>
        </w:rPr>
        <w:t>减少</w:t>
      </w:r>
      <w:r>
        <w:rPr>
          <w:rFonts w:hint="eastAsia"/>
          <w:spacing w:val="-19"/>
          <w:lang w:val="en-US" w:eastAsia="zh-CN"/>
        </w:rPr>
        <w:t>2199.56</w:t>
      </w:r>
      <w:r>
        <w:rPr>
          <w:spacing w:val="-9"/>
        </w:rPr>
        <w:t>万</w:t>
      </w:r>
      <w:r>
        <w:rPr>
          <w:rFonts w:hint="eastAsia"/>
          <w:spacing w:val="-9"/>
          <w:lang w:eastAsia="zh-CN"/>
        </w:rPr>
        <w:t>元。按照政府</w:t>
      </w:r>
      <w:r>
        <w:rPr>
          <w:spacing w:val="3"/>
          <w:w w:val="95"/>
        </w:rPr>
        <w:t>持续贯彻落实“过紧日子”政策，对一般运转类项目按照</w:t>
      </w:r>
      <w:r>
        <w:rPr>
          <w:spacing w:val="3"/>
          <w:w w:val="95"/>
          <w:position w:val="1"/>
        </w:rPr>
        <w:t>10</w:t>
      </w:r>
      <w:r>
        <w:rPr>
          <w:spacing w:val="-128"/>
          <w:w w:val="95"/>
          <w:position w:val="1"/>
        </w:rPr>
        <w:t xml:space="preserve"> </w:t>
      </w:r>
      <w:r>
        <w:rPr>
          <w:spacing w:val="11"/>
          <w:w w:val="99"/>
        </w:rPr>
        <w:drawing>
          <wp:inline distT="0" distB="0" distL="0" distR="0">
            <wp:extent cx="85090" cy="154940"/>
            <wp:effectExtent l="0" t="0" r="0" b="0"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2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4" cy="1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的要求压减经费</w:t>
      </w:r>
      <w:r>
        <w:rPr>
          <w:rFonts w:hint="eastAsia"/>
          <w:position w:val="1"/>
          <w:lang w:eastAsia="zh-CN"/>
        </w:rPr>
        <w:t>，其中金额减少较大的项目包括：</w:t>
      </w:r>
      <w:r>
        <w:rPr>
          <w:rFonts w:hint="eastAsia"/>
          <w:position w:val="1"/>
          <w:lang w:val="en-US" w:eastAsia="zh-CN"/>
        </w:rPr>
        <w:t>2022年物业运行补助经费减少187万、中医预防保健及康复能力建设经费减少77万，单位日常事业支出减少220万元，2021年因疫情防控需要用于核酸方舱实验室建设经费1421.96万元，2022年不再列入项目</w:t>
      </w:r>
      <w:r>
        <w:rPr>
          <w:position w:val="1"/>
        </w:rPr>
        <w:t>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93" w:line="360" w:lineRule="auto"/>
        <w:ind w:left="969"/>
        <w:textAlignment w:val="auto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二、“三公”经费增减变动原因说明</w:t>
      </w:r>
    </w:p>
    <w:p>
      <w:pPr>
        <w:pStyle w:val="6"/>
        <w:spacing w:before="5" w:line="340" w:lineRule="auto"/>
        <w:ind w:right="725" w:firstLine="640"/>
        <w:jc w:val="both"/>
        <w:rPr>
          <w:rFonts w:hint="eastAsia" w:ascii="宋体" w:hAnsi="宋体" w:eastAsia="宋体" w:cs="宋体"/>
          <w:spacing w:val="3"/>
          <w:w w:val="95"/>
          <w:lang w:val="en-US" w:eastAsia="zh-CN"/>
        </w:rPr>
      </w:pPr>
      <w:r>
        <w:rPr>
          <w:rFonts w:ascii="宋体" w:hAnsi="宋体" w:eastAsia="宋体" w:cs="宋体"/>
          <w:spacing w:val="3"/>
          <w:w w:val="95"/>
        </w:rPr>
        <w:t xml:space="preserve">2022 年一般公共预算安排的“三公”经费预算 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0</w:t>
      </w:r>
      <w:r>
        <w:rPr>
          <w:rFonts w:ascii="宋体" w:hAnsi="宋体" w:eastAsia="宋体" w:cs="宋体"/>
          <w:spacing w:val="3"/>
          <w:w w:val="95"/>
        </w:rPr>
        <w:t>万元，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较</w:t>
      </w:r>
    </w:p>
    <w:p>
      <w:pPr>
        <w:pStyle w:val="6"/>
        <w:spacing w:before="5" w:line="340" w:lineRule="auto"/>
        <w:ind w:right="725" w:firstLine="640"/>
        <w:jc w:val="both"/>
        <w:rPr>
          <w:rFonts w:ascii="宋体" w:hAnsi="宋体" w:eastAsia="宋体" w:cs="宋体"/>
          <w:spacing w:val="3"/>
          <w:w w:val="95"/>
        </w:rPr>
      </w:pPr>
      <w:r>
        <w:rPr>
          <w:rFonts w:ascii="宋体" w:hAnsi="宋体" w:eastAsia="宋体" w:cs="宋体"/>
          <w:spacing w:val="3"/>
          <w:w w:val="95"/>
        </w:rPr>
        <w:t>2021 年预算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6</w:t>
      </w:r>
      <w:r>
        <w:rPr>
          <w:rFonts w:ascii="宋体" w:hAnsi="宋体" w:eastAsia="宋体" w:cs="宋体"/>
          <w:spacing w:val="3"/>
          <w:w w:val="95"/>
        </w:rPr>
        <w:t>万元相比，减少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6万</w:t>
      </w:r>
      <w:r>
        <w:rPr>
          <w:rFonts w:ascii="宋体" w:hAnsi="宋体" w:eastAsia="宋体" w:cs="宋体"/>
          <w:spacing w:val="3"/>
          <w:w w:val="95"/>
        </w:rPr>
        <w:t>元。减少原因是</w:t>
      </w:r>
      <w:r>
        <w:rPr>
          <w:rFonts w:hint="eastAsia" w:ascii="宋体" w:hAnsi="宋体" w:eastAsia="宋体" w:cs="宋体"/>
          <w:spacing w:val="3"/>
          <w:w w:val="95"/>
          <w:lang w:eastAsia="zh-CN"/>
        </w:rPr>
        <w:t>单位公车报废核销，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不再拔付公车运行维护费</w:t>
      </w:r>
      <w:r>
        <w:rPr>
          <w:rFonts w:hint="eastAsia" w:ascii="宋体" w:hAnsi="宋体" w:eastAsia="宋体" w:cs="宋体"/>
          <w:spacing w:val="3"/>
          <w:w w:val="95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969"/>
        <w:textAlignment w:val="auto"/>
        <w:rPr>
          <w:rFonts w:hint="eastAsia" w:ascii="黑体" w:eastAsia="黑体"/>
        </w:rPr>
      </w:pPr>
      <w:r>
        <w:rPr>
          <w:rFonts w:hint="eastAsia" w:ascii="黑体" w:eastAsia="黑体"/>
          <w:lang w:eastAsia="zh-CN"/>
        </w:rPr>
        <w:t>三</w:t>
      </w:r>
      <w:r>
        <w:rPr>
          <w:rFonts w:hint="eastAsia" w:ascii="黑体" w:eastAsia="黑体"/>
        </w:rPr>
        <w:t>、政府采购情况</w:t>
      </w:r>
    </w:p>
    <w:p>
      <w:pPr>
        <w:pStyle w:val="6"/>
        <w:spacing w:before="5" w:line="340" w:lineRule="auto"/>
        <w:ind w:right="725" w:firstLine="640"/>
        <w:jc w:val="both"/>
        <w:rPr>
          <w:rFonts w:ascii="宋体" w:hAnsi="宋体" w:eastAsia="宋体" w:cs="宋体"/>
          <w:spacing w:val="3"/>
          <w:w w:val="95"/>
        </w:rPr>
      </w:pPr>
      <w:r>
        <w:rPr>
          <w:rFonts w:ascii="宋体" w:hAnsi="宋体" w:eastAsia="宋体" w:cs="宋体"/>
          <w:spacing w:val="3"/>
          <w:w w:val="95"/>
        </w:rPr>
        <w:t>2022 年，</w:t>
      </w:r>
      <w:r>
        <w:rPr>
          <w:rFonts w:hint="eastAsia" w:ascii="宋体" w:hAnsi="宋体" w:eastAsia="宋体" w:cs="宋体"/>
          <w:spacing w:val="3"/>
          <w:w w:val="95"/>
          <w:lang w:eastAsia="zh-CN"/>
        </w:rPr>
        <w:t>大同市中医医院</w:t>
      </w:r>
      <w:r>
        <w:rPr>
          <w:rFonts w:ascii="宋体" w:hAnsi="宋体" w:eastAsia="宋体" w:cs="宋体"/>
          <w:spacing w:val="3"/>
          <w:w w:val="95"/>
        </w:rPr>
        <w:t xml:space="preserve">采购预算总额 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1000</w:t>
      </w:r>
      <w:r>
        <w:rPr>
          <w:rFonts w:ascii="宋体" w:hAnsi="宋体" w:eastAsia="宋体" w:cs="宋体"/>
          <w:spacing w:val="3"/>
          <w:w w:val="95"/>
        </w:rPr>
        <w:t>万元。</w:t>
      </w:r>
    </w:p>
    <w:p>
      <w:pPr>
        <w:pStyle w:val="6"/>
        <w:spacing w:before="5" w:line="340" w:lineRule="auto"/>
        <w:ind w:right="725" w:firstLine="640"/>
        <w:jc w:val="both"/>
        <w:rPr>
          <w:rFonts w:hint="eastAsia" w:ascii="黑体" w:eastAsia="黑体"/>
          <w:lang w:eastAsia="zh-CN"/>
        </w:rPr>
      </w:pPr>
      <w:r>
        <w:rPr>
          <w:rFonts w:ascii="宋体" w:hAnsi="宋体" w:eastAsia="宋体" w:cs="宋体"/>
          <w:spacing w:val="3"/>
          <w:w w:val="95"/>
        </w:rPr>
        <w:t>按采购品种划分，部门年度政府采购货物预算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200</w:t>
      </w:r>
      <w:r>
        <w:rPr>
          <w:rFonts w:ascii="宋体" w:hAnsi="宋体" w:eastAsia="宋体" w:cs="宋体"/>
          <w:spacing w:val="3"/>
          <w:w w:val="95"/>
        </w:rPr>
        <w:t xml:space="preserve">万元、政府采购工程预算 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300</w:t>
      </w:r>
      <w:r>
        <w:rPr>
          <w:rFonts w:ascii="宋体" w:hAnsi="宋体" w:eastAsia="宋体" w:cs="宋体"/>
          <w:spacing w:val="3"/>
          <w:w w:val="95"/>
        </w:rPr>
        <w:t xml:space="preserve">万元、政府采购服务预算 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500</w:t>
      </w:r>
      <w:r>
        <w:rPr>
          <w:rFonts w:ascii="宋体" w:hAnsi="宋体" w:eastAsia="宋体" w:cs="宋体"/>
          <w:spacing w:val="3"/>
          <w:w w:val="95"/>
        </w:rPr>
        <w:t xml:space="preserve"> 万元。采购货物主要为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医疗设备购置</w:t>
      </w:r>
      <w:r>
        <w:rPr>
          <w:rFonts w:ascii="宋体" w:hAnsi="宋体" w:eastAsia="宋体" w:cs="宋体"/>
          <w:spacing w:val="3"/>
          <w:w w:val="95"/>
        </w:rPr>
        <w:t>，采购服务主要为物业管理服务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,采购工程主要为房屋</w:t>
      </w:r>
      <w:r>
        <w:rPr>
          <w:rFonts w:ascii="宋体" w:hAnsi="宋体" w:eastAsia="宋体" w:cs="宋体"/>
          <w:spacing w:val="3"/>
          <w:w w:val="95"/>
        </w:rPr>
        <w:t>维修维护</w:t>
      </w:r>
      <w:r>
        <w:rPr>
          <w:rFonts w:hint="eastAsia" w:ascii="宋体" w:hAnsi="宋体" w:eastAsia="宋体" w:cs="宋体"/>
          <w:spacing w:val="3"/>
          <w:w w:val="95"/>
          <w:lang w:val="en-US" w:eastAsia="zh-CN"/>
        </w:rPr>
        <w:t>等</w:t>
      </w:r>
      <w:r>
        <w:rPr>
          <w:rFonts w:ascii="宋体" w:hAnsi="宋体" w:eastAsia="宋体" w:cs="宋体"/>
          <w:spacing w:val="3"/>
          <w:w w:val="95"/>
        </w:rPr>
        <w:t>。</w:t>
      </w:r>
    </w:p>
    <w:p>
      <w:pPr>
        <w:pStyle w:val="6"/>
        <w:spacing w:before="7"/>
        <w:ind w:left="967"/>
        <w:rPr>
          <w:rFonts w:hint="eastAsia" w:ascii="黑体" w:eastAsia="黑体"/>
          <w:lang w:eastAsia="zh-CN"/>
        </w:rPr>
      </w:pPr>
    </w:p>
    <w:p>
      <w:pPr>
        <w:pStyle w:val="6"/>
        <w:spacing w:before="7"/>
        <w:ind w:left="967"/>
        <w:rPr>
          <w:rFonts w:hint="eastAsia" w:ascii="黑体" w:eastAsia="黑体"/>
        </w:rPr>
      </w:pPr>
      <w:r>
        <w:rPr>
          <w:rFonts w:hint="eastAsia" w:ascii="黑体" w:eastAsia="黑体"/>
          <w:lang w:eastAsia="zh-CN"/>
        </w:rPr>
        <w:t>四</w:t>
      </w:r>
      <w:r>
        <w:rPr>
          <w:rFonts w:hint="eastAsia" w:ascii="黑体" w:eastAsia="黑体"/>
        </w:rPr>
        <w:t>、绩效管理情况</w:t>
      </w:r>
    </w:p>
    <w:p>
      <w:pPr>
        <w:pStyle w:val="6"/>
        <w:ind w:left="967"/>
      </w:pPr>
      <w:r>
        <w:t>1、绩效管理情况</w:t>
      </w:r>
    </w:p>
    <w:p>
      <w:pPr>
        <w:pStyle w:val="6"/>
        <w:spacing w:line="350" w:lineRule="auto"/>
        <w:ind w:right="598" w:firstLine="640"/>
        <w:jc w:val="both"/>
      </w:pPr>
      <w:r>
        <w:rPr>
          <w:rFonts w:hint="eastAsia"/>
          <w:spacing w:val="4"/>
          <w:lang w:val="en-US" w:eastAsia="zh-CN"/>
        </w:rPr>
        <w:t>大同市中医医院</w:t>
      </w:r>
      <w:r>
        <w:rPr>
          <w:spacing w:val="4"/>
        </w:rPr>
        <w:t>认真贯彻落实《财政部关于推进预算绩效管理</w:t>
      </w:r>
      <w:r>
        <w:rPr>
          <w:spacing w:val="-3"/>
        </w:rPr>
        <w:t>的指导意见》</w:t>
      </w:r>
      <w:r>
        <w:t>（</w:t>
      </w:r>
      <w:r>
        <w:rPr>
          <w:spacing w:val="-6"/>
        </w:rPr>
        <w:t>财预〔</w:t>
      </w:r>
      <w:r>
        <w:t>2011</w:t>
      </w:r>
      <w:r>
        <w:rPr>
          <w:spacing w:val="-17"/>
        </w:rPr>
        <w:t>〕</w:t>
      </w:r>
      <w:r>
        <w:t>416</w:t>
      </w:r>
      <w:r>
        <w:rPr>
          <w:spacing w:val="-43"/>
        </w:rPr>
        <w:t xml:space="preserve"> 号</w:t>
      </w:r>
      <w:r>
        <w:rPr>
          <w:spacing w:val="-19"/>
        </w:rPr>
        <w:t>）</w:t>
      </w:r>
      <w:r>
        <w:rPr>
          <w:spacing w:val="-6"/>
        </w:rPr>
        <w:t>、《关于全面推进我省预算绩效管理的指导意见》（晋政办发〔2013〕80</w:t>
      </w:r>
      <w:r>
        <w:rPr>
          <w:spacing w:val="-37"/>
        </w:rPr>
        <w:t xml:space="preserve"> 号</w:t>
      </w:r>
      <w:r>
        <w:t>）和《</w:t>
      </w:r>
      <w:r>
        <w:rPr>
          <w:rFonts w:hint="eastAsia"/>
          <w:lang w:val="en-US" w:eastAsia="zh-CN"/>
        </w:rPr>
        <w:t>大同市财政局关于印发市级项目支出绩效评价管理办法</w:t>
      </w:r>
      <w:r>
        <w:rPr>
          <w:spacing w:val="4"/>
        </w:rPr>
        <w:t>》</w:t>
      </w:r>
      <w:r>
        <w:rPr>
          <w:rFonts w:hint="eastAsia"/>
          <w:spacing w:val="4"/>
          <w:lang w:eastAsia="zh-CN"/>
        </w:rPr>
        <w:t>（</w:t>
      </w:r>
      <w:r>
        <w:rPr>
          <w:rFonts w:hint="eastAsia"/>
          <w:spacing w:val="4"/>
          <w:lang w:val="en-US" w:eastAsia="zh-CN"/>
        </w:rPr>
        <w:t>同财绩</w:t>
      </w:r>
      <w:r>
        <w:rPr>
          <w:spacing w:val="-6"/>
        </w:rPr>
        <w:t>〔</w:t>
      </w:r>
      <w:r>
        <w:rPr>
          <w:rFonts w:hint="eastAsia"/>
          <w:spacing w:val="-6"/>
          <w:lang w:val="en-US" w:eastAsia="zh-CN"/>
        </w:rPr>
        <w:t>2021</w:t>
      </w:r>
      <w:r>
        <w:rPr>
          <w:spacing w:val="-6"/>
        </w:rPr>
        <w:t>〕</w:t>
      </w:r>
      <w:r>
        <w:rPr>
          <w:rFonts w:hint="eastAsia"/>
          <w:spacing w:val="-6"/>
          <w:lang w:val="en-US" w:eastAsia="zh-CN"/>
        </w:rPr>
        <w:t>10</w:t>
      </w:r>
      <w:r>
        <w:rPr>
          <w:spacing w:val="-37"/>
        </w:rPr>
        <w:t>号</w:t>
      </w:r>
      <w:r>
        <w:rPr>
          <w:rFonts w:hint="eastAsia"/>
          <w:spacing w:val="-37"/>
          <w:lang w:val="en-US" w:eastAsia="zh-CN"/>
        </w:rPr>
        <w:t>)</w:t>
      </w:r>
      <w:r>
        <w:rPr>
          <w:spacing w:val="4"/>
        </w:rPr>
        <w:t>等文件精神，积极推进预算绩效管理工作，不断完善预算绩效管理制度，汇总制定了部门内绩效指标体系，突出绩效导向编制预算，2022</w:t>
      </w:r>
      <w:r>
        <w:rPr>
          <w:spacing w:val="-19"/>
        </w:rPr>
        <w:t xml:space="preserve"> 年，</w:t>
      </w:r>
      <w:r>
        <w:rPr>
          <w:rFonts w:hint="eastAsia"/>
          <w:spacing w:val="-19"/>
          <w:lang w:eastAsia="zh-CN"/>
        </w:rPr>
        <w:t>大同市中医医院</w:t>
      </w:r>
      <w:r>
        <w:rPr>
          <w:spacing w:val="-16"/>
        </w:rPr>
        <w:t xml:space="preserve">共申报项目 </w:t>
      </w:r>
      <w:r>
        <w:rPr>
          <w:rFonts w:hint="eastAsia"/>
          <w:lang w:val="en-US" w:eastAsia="zh-CN"/>
        </w:rPr>
        <w:t>8</w:t>
      </w:r>
      <w:r>
        <w:rPr>
          <w:spacing w:val="-28"/>
        </w:rPr>
        <w:t>个，</w:t>
      </w:r>
      <w:r>
        <w:t>全部实行了绩效目标管理，涉及一般公共预算当年拨款</w:t>
      </w:r>
      <w:r>
        <w:rPr>
          <w:rFonts w:hint="eastAsia"/>
          <w:lang w:val="en-US" w:eastAsia="zh-CN"/>
        </w:rPr>
        <w:t>677.9</w:t>
      </w:r>
      <w:r>
        <w:t>万元</w:t>
      </w:r>
      <w:r>
        <w:rPr>
          <w:rFonts w:hint="eastAsia"/>
          <w:lang w:eastAsia="zh-CN"/>
        </w:rPr>
        <w:t>，政府性基金</w:t>
      </w:r>
      <w:r>
        <w:rPr>
          <w:rFonts w:hint="eastAsia"/>
          <w:lang w:val="en-US" w:eastAsia="zh-CN"/>
        </w:rPr>
        <w:t>1000万元，单位资金4000万元</w:t>
      </w:r>
      <w:r>
        <w:t>。</w:t>
      </w:r>
    </w:p>
    <w:p>
      <w:pPr>
        <w:pStyle w:val="6"/>
        <w:spacing w:before="3"/>
        <w:ind w:left="967"/>
      </w:pPr>
      <w:r>
        <w:t>2、绩效目标情况</w:t>
      </w:r>
    </w:p>
    <w:p>
      <w:pPr>
        <w:pStyle w:val="6"/>
        <w:spacing w:line="350" w:lineRule="auto"/>
        <w:ind w:right="725" w:firstLine="640"/>
        <w:jc w:val="both"/>
      </w:pPr>
      <w:r>
        <w:t>2022</w:t>
      </w:r>
      <w:r>
        <w:rPr>
          <w:spacing w:val="-9"/>
        </w:rPr>
        <w:t xml:space="preserve"> 年，</w:t>
      </w:r>
      <w:r>
        <w:rPr>
          <w:rFonts w:hint="eastAsia"/>
          <w:spacing w:val="-9"/>
          <w:lang w:val="en-US" w:eastAsia="zh-CN"/>
        </w:rPr>
        <w:t>大同市中医医院</w:t>
      </w:r>
      <w:r>
        <w:rPr>
          <w:spacing w:val="-9"/>
        </w:rPr>
        <w:t>当年申报预算的项目全部实行绩效目</w:t>
      </w:r>
      <w:r>
        <w:rPr>
          <w:spacing w:val="4"/>
          <w:w w:val="95"/>
        </w:rPr>
        <w:t>标管理，均已设定绩效目标和绩效指标。项目在申报预算时同步  填写《项目绩效目标申报表》，随同预算上报，</w:t>
      </w:r>
      <w:r>
        <w:rPr>
          <w:rFonts w:hint="eastAsia"/>
          <w:spacing w:val="4"/>
          <w:w w:val="95"/>
          <w:lang w:val="en-US" w:eastAsia="zh-CN"/>
        </w:rPr>
        <w:t>大同市财政局</w:t>
      </w:r>
      <w:r>
        <w:rPr>
          <w:spacing w:val="4"/>
          <w:w w:val="95"/>
        </w:rPr>
        <w:t>在批复项目预算时同步批复绩效目标</w:t>
      </w:r>
      <w:r>
        <w:t>。</w:t>
      </w:r>
    </w:p>
    <w:p>
      <w:pPr>
        <w:pStyle w:val="6"/>
        <w:spacing w:before="6" w:line="350" w:lineRule="auto"/>
        <w:ind w:right="725" w:firstLine="640"/>
        <w:jc w:val="both"/>
      </w:pPr>
      <w:r>
        <w:rPr>
          <w:spacing w:val="4"/>
          <w:w w:val="95"/>
        </w:rPr>
        <w:t xml:space="preserve">每个项目在设定绩效目时，突出关键绩效指标，围绕产出指 标、效益指标和满意度指标分别设置，如产出指标方面设置了数  量、质量、时效、成本等指标，效益指标方面设置了经济效益、  社会效益、生态效益、可持续影响等指标，满意度指标方面设置  了社会公众满意度、服务对象满意度等指标，并对核心指标进行 </w:t>
      </w:r>
      <w:r>
        <w:t>排序、赋予分值，建立了绩效管理目标和指标体系。</w:t>
      </w:r>
    </w:p>
    <w:p>
      <w:pPr>
        <w:pStyle w:val="6"/>
        <w:spacing w:before="9"/>
        <w:ind w:left="967"/>
        <w:jc w:val="both"/>
      </w:pPr>
      <w:r>
        <w:t>以下分别列示2022年度项目绩效目标申报表：</w:t>
      </w:r>
    </w:p>
    <w:p>
      <w:pPr>
        <w:spacing w:after="0"/>
        <w:sectPr>
          <w:footerReference r:id="rId5" w:type="default"/>
          <w:type w:val="continuous"/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</w:p>
    <w:p>
      <w:pPr>
        <w:pStyle w:val="6"/>
        <w:spacing w:before="43"/>
      </w:pPr>
      <w:r>
        <w:t>（一）</w:t>
      </w:r>
      <w:r>
        <w:rPr>
          <w:rFonts w:hint="eastAsia"/>
          <w:lang w:val="en-US" w:eastAsia="zh-CN"/>
        </w:rPr>
        <w:t>大同市中医医院单位事业支出</w:t>
      </w:r>
      <w:r>
        <w:t>经费绩效目标申报表</w:t>
      </w:r>
    </w:p>
    <w:p>
      <w:pPr>
        <w:pStyle w:val="6"/>
        <w:spacing w:before="10"/>
        <w:ind w:left="0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  <w:r>
        <w:drawing>
          <wp:inline distT="0" distB="0" distL="114300" distR="114300">
            <wp:extent cx="6442075" cy="8412480"/>
            <wp:effectExtent l="0" t="0" r="6350" b="762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firstLine="320" w:firstLineChars="100"/>
      </w:pPr>
      <w:r>
        <w:t>（二）</w:t>
      </w:r>
      <w:r>
        <w:rPr>
          <w:rFonts w:hint="eastAsia"/>
          <w:lang w:eastAsia="zh-CN"/>
        </w:rPr>
        <w:t>大同市中医医院离退休干部一个党支部活动</w:t>
      </w:r>
      <w:r>
        <w:t>经费绩效目标申报表</w:t>
      </w:r>
    </w:p>
    <w:p>
      <w:pPr>
        <w:spacing w:after="0"/>
      </w:pPr>
    </w:p>
    <w:p>
      <w:pPr>
        <w:spacing w:after="0"/>
        <w:sectPr>
          <w:pgSz w:w="11910" w:h="16840"/>
          <w:pgMar w:top="1134" w:right="850" w:bottom="850" w:left="850" w:header="0" w:footer="1077" w:gutter="0"/>
          <w:cols w:space="0" w:num="1"/>
          <w:rtlGutter w:val="0"/>
          <w:docGrid w:linePitch="0" w:charSpace="0"/>
        </w:sectPr>
      </w:pPr>
      <w:r>
        <w:drawing>
          <wp:inline distT="0" distB="0" distL="114300" distR="114300">
            <wp:extent cx="6346825" cy="8247380"/>
            <wp:effectExtent l="0" t="0" r="6350" b="1270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6825" cy="824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firstLine="320" w:firstLineChars="100"/>
      </w:pPr>
      <w:r>
        <w:t>（三）</w:t>
      </w:r>
      <w:r>
        <w:rPr>
          <w:rFonts w:hint="eastAsia"/>
          <w:lang w:val="en-US" w:eastAsia="zh-CN"/>
        </w:rPr>
        <w:t>大同市中医医院援疆补助</w:t>
      </w:r>
      <w:r>
        <w:t>经费绩效目标申报表</w:t>
      </w:r>
    </w:p>
    <w:p>
      <w:pPr>
        <w:pStyle w:val="6"/>
        <w:spacing w:before="0"/>
        <w:ind w:left="0"/>
        <w:rPr>
          <w:sz w:val="20"/>
        </w:rPr>
      </w:pPr>
    </w:p>
    <w:p>
      <w:pPr>
        <w:pStyle w:val="6"/>
        <w:spacing w:before="11"/>
        <w:ind w:left="0"/>
        <w:rPr>
          <w:sz w:val="10"/>
        </w:rPr>
      </w:pPr>
    </w:p>
    <w:p>
      <w:pPr>
        <w:spacing w:after="0"/>
        <w:rPr>
          <w:sz w:val="10"/>
        </w:rPr>
        <w:sectPr>
          <w:footerReference r:id="rId6" w:type="default"/>
          <w:pgSz w:w="11910" w:h="16840"/>
          <w:pgMar w:top="1134" w:right="850" w:bottom="850" w:left="850" w:header="0" w:footer="1077" w:gutter="0"/>
          <w:pgNumType w:start="20"/>
          <w:cols w:space="0" w:num="1"/>
          <w:rtlGutter w:val="0"/>
          <w:docGrid w:linePitch="0" w:charSpace="0"/>
        </w:sectPr>
      </w:pPr>
      <w:r>
        <w:drawing>
          <wp:inline distT="0" distB="0" distL="114300" distR="114300">
            <wp:extent cx="6348095" cy="8247380"/>
            <wp:effectExtent l="0" t="0" r="5080" b="1270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8095" cy="824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0"/>
        </w:numPr>
        <w:spacing w:before="43"/>
        <w:ind w:right="0" w:rightChars="0" w:firstLine="640" w:firstLineChars="200"/>
      </w:pPr>
      <w:r>
        <w:rPr>
          <w:rFonts w:hint="eastAsia"/>
          <w:lang w:val="en-US" w:eastAsia="zh-CN"/>
        </w:rPr>
        <w:t>（四）大同市中医医院驻村扶贫补助</w:t>
      </w:r>
      <w:r>
        <w:t>经费绩效目标表</w:t>
      </w:r>
    </w:p>
    <w:p>
      <w:pPr>
        <w:pStyle w:val="6"/>
        <w:spacing w:before="0"/>
        <w:ind w:left="0"/>
        <w:rPr>
          <w:sz w:val="20"/>
        </w:rPr>
      </w:pPr>
    </w:p>
    <w:p>
      <w:pPr>
        <w:pStyle w:val="6"/>
        <w:spacing w:before="6"/>
        <w:ind w:left="0"/>
        <w:rPr>
          <w:sz w:val="22"/>
        </w:rPr>
      </w:pPr>
    </w:p>
    <w:p>
      <w:pPr>
        <w:spacing w:after="0"/>
      </w:pPr>
      <w:r>
        <w:drawing>
          <wp:inline distT="0" distB="0" distL="114300" distR="114300">
            <wp:extent cx="6428740" cy="7732395"/>
            <wp:effectExtent l="0" t="0" r="10160" b="1905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28740" cy="773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numPr>
          <w:ilvl w:val="0"/>
          <w:numId w:val="0"/>
        </w:numPr>
        <w:spacing w:before="43"/>
        <w:ind w:right="0" w:rightChars="0" w:firstLine="960" w:firstLineChars="300"/>
      </w:pPr>
      <w:r>
        <w:rPr>
          <w:rFonts w:hint="eastAsia"/>
          <w:lang w:val="en-US" w:eastAsia="zh-CN"/>
        </w:rPr>
        <w:t>（五）大同市中医医院公共场所服务人员体检</w:t>
      </w:r>
      <w:r>
        <w:t>经费绩效目标表</w:t>
      </w: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  <w:r>
        <w:drawing>
          <wp:inline distT="0" distB="0" distL="114300" distR="114300">
            <wp:extent cx="6428740" cy="7732395"/>
            <wp:effectExtent l="0" t="0" r="635" b="1905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28740" cy="773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numPr>
          <w:ilvl w:val="0"/>
          <w:numId w:val="0"/>
        </w:numPr>
        <w:spacing w:before="43"/>
        <w:ind w:right="0" w:rightChars="0" w:firstLine="64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（六）大同市中医医院戒毒门诊补助经费</w:t>
      </w:r>
      <w:r>
        <w:t>绩效目标表</w:t>
      </w:r>
    </w:p>
    <w:p>
      <w:pPr>
        <w:pStyle w:val="6"/>
        <w:numPr>
          <w:ilvl w:val="0"/>
          <w:numId w:val="0"/>
        </w:numPr>
        <w:spacing w:before="43"/>
        <w:ind w:right="0" w:rightChars="0"/>
        <w:rPr>
          <w:rFonts w:hint="eastAsia" w:ascii="宋体" w:hAnsi="宋体" w:eastAsia="宋体" w:cs="宋体"/>
          <w:lang w:val="en-US" w:eastAsia="zh-CN"/>
        </w:rPr>
      </w:pP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  <w:r>
        <w:drawing>
          <wp:inline distT="0" distB="0" distL="114300" distR="114300">
            <wp:extent cx="6428740" cy="7935595"/>
            <wp:effectExtent l="0" t="0" r="635" b="8255"/>
            <wp:docPr id="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28740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tabs>
          <w:tab w:val="left" w:pos="0"/>
        </w:tabs>
        <w:spacing w:before="43"/>
        <w:ind w:left="0" w:leftChars="0" w:firstLine="0" w:firstLineChars="0"/>
        <w:rPr>
          <w:rFonts w:hint="eastAsia" w:ascii="黑体" w:eastAsia="黑体"/>
        </w:rPr>
      </w:pPr>
    </w:p>
    <w:p>
      <w:pPr>
        <w:pStyle w:val="6"/>
        <w:spacing w:before="43"/>
        <w:ind w:firstLine="32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七）大同市中医医院中医药传承创新和中医重点专科、特色专科建设经费</w:t>
      </w:r>
    </w:p>
    <w:p>
      <w:pPr>
        <w:pStyle w:val="6"/>
        <w:spacing w:before="43"/>
        <w:ind w:left="218" w:leftChars="96" w:hanging="7" w:firstLineChars="0"/>
        <w:rPr>
          <w:rFonts w:hint="eastAsia" w:ascii="黑体" w:eastAsia="黑体"/>
        </w:rPr>
      </w:pPr>
      <w:r>
        <w:drawing>
          <wp:inline distT="0" distB="0" distL="114300" distR="114300">
            <wp:extent cx="6300470" cy="8194675"/>
            <wp:effectExtent l="0" t="0" r="5080" b="6350"/>
            <wp:docPr id="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1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spacing w:before="43"/>
        <w:ind w:left="967"/>
        <w:rPr>
          <w:rFonts w:hint="default" w:ascii="黑体" w:eastAsia="黑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 w:ascii="宋体" w:hAnsi="宋体" w:eastAsia="宋体" w:cs="宋体"/>
          <w:lang w:val="en-US" w:eastAsia="zh-CN"/>
        </w:rPr>
        <w:t>八）大同市中医医院中医能力建设经费</w:t>
      </w:r>
      <w:r>
        <w:t>绩效目标表</w:t>
      </w:r>
    </w:p>
    <w:p>
      <w:pPr>
        <w:pStyle w:val="6"/>
        <w:spacing w:before="43"/>
        <w:ind w:left="220" w:leftChars="100" w:firstLine="0" w:firstLineChars="0"/>
        <w:rPr>
          <w:rFonts w:hint="eastAsia" w:ascii="黑体" w:eastAsia="黑体"/>
        </w:rPr>
      </w:pPr>
      <w:r>
        <w:drawing>
          <wp:inline distT="0" distB="0" distL="114300" distR="114300">
            <wp:extent cx="6211570" cy="8061325"/>
            <wp:effectExtent l="0" t="0" r="8255" b="6350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1570" cy="806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43"/>
        <w:ind w:left="967"/>
        <w:rPr>
          <w:rFonts w:hint="eastAsia" w:ascii="黑体" w:eastAsia="黑体"/>
        </w:rPr>
      </w:pPr>
    </w:p>
    <w:p>
      <w:pPr>
        <w:pStyle w:val="6"/>
        <w:numPr>
          <w:ilvl w:val="0"/>
          <w:numId w:val="2"/>
        </w:numPr>
        <w:spacing w:before="43"/>
        <w:ind w:firstLine="640" w:firstLineChars="200"/>
        <w:rPr>
          <w:rFonts w:hint="eastAsia" w:ascii="黑体" w:eastAsia="黑体"/>
        </w:rPr>
      </w:pPr>
      <w:r>
        <w:rPr>
          <w:rFonts w:hint="eastAsia" w:ascii="黑体" w:eastAsia="黑体"/>
        </w:rPr>
        <w:t>国有资产占有使用情况</w:t>
      </w:r>
    </w:p>
    <w:p>
      <w:pPr>
        <w:pStyle w:val="6"/>
        <w:numPr>
          <w:ilvl w:val="0"/>
          <w:numId w:val="0"/>
        </w:numPr>
        <w:spacing w:before="43"/>
        <w:ind w:leftChars="200" w:right="0" w:rightChars="0"/>
        <w:rPr>
          <w:rFonts w:hint="eastAsia" w:ascii="黑体" w:eastAsia="黑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220" w:leftChars="100" w:right="748" w:rightChars="340" w:firstLine="628" w:firstLineChars="200"/>
        <w:jc w:val="both"/>
        <w:textAlignment w:val="auto"/>
        <w:rPr>
          <w:rFonts w:hint="default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</w:pP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1、车辆情况：大同市中医医院公车编制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0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辆，实际运行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3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辆。分别是：体检车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1辆、救护车1辆、商务车1辆，均无编制。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220" w:leftChars="100" w:right="748" w:rightChars="340" w:firstLine="628" w:firstLineChars="200"/>
        <w:jc w:val="both"/>
        <w:textAlignment w:val="auto"/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 xml:space="preserve">2、房屋情况：大同市中医医院房屋总建筑面积 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89000.00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平米，均为业务用房。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220" w:leftChars="100" w:right="748" w:rightChars="340" w:firstLine="628" w:firstLineChars="200"/>
        <w:jc w:val="both"/>
        <w:textAlignment w:val="auto"/>
        <w:rPr>
          <w:rFonts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</w:pP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3、其他国有资产占有使用情况：大同市中医医院单价 50万元（含）以上的通用设备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1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 xml:space="preserve">台（套），主要为安全管理系统，单价100 万元（含）以上的专用设备 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28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 台（套），主要为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X射线计算机体层摄影设备（CT）、医用磁共振成像系统、移动式C形臂X射线系统、高级电子内窥镜、全自动生化分析仪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>等专用设备。专用设备原值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en-US" w:eastAsia="zh-CN" w:bidi="zh-CN"/>
        </w:rPr>
        <w:t>10858.09</w:t>
      </w:r>
      <w:r>
        <w:rPr>
          <w:rFonts w:hint="eastAsia"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  <w:t xml:space="preserve"> 万元。</w:t>
      </w:r>
    </w:p>
    <w:p>
      <w:pPr>
        <w:pStyle w:val="6"/>
        <w:spacing w:before="7"/>
        <w:ind w:left="0"/>
        <w:rPr>
          <w:rFonts w:ascii="宋体" w:hAnsi="宋体" w:eastAsia="宋体" w:cs="宋体"/>
          <w:spacing w:val="5"/>
          <w:w w:val="95"/>
          <w:sz w:val="32"/>
          <w:szCs w:val="32"/>
          <w:lang w:val="zh-CN" w:eastAsia="zh-CN" w:bidi="zh-CN"/>
        </w:rPr>
      </w:pPr>
    </w:p>
    <w:p>
      <w:pPr>
        <w:pStyle w:val="4"/>
        <w:tabs>
          <w:tab w:val="left" w:pos="1799"/>
        </w:tabs>
        <w:spacing w:before="1"/>
      </w:pPr>
      <w:r>
        <w:t>第四部分</w:t>
      </w:r>
      <w:r>
        <w:tab/>
      </w:r>
      <w:r>
        <w:t>名词解释</w:t>
      </w:r>
    </w:p>
    <w:p>
      <w:pPr>
        <w:pStyle w:val="6"/>
        <w:spacing w:before="75" w:line="288" w:lineRule="auto"/>
        <w:ind w:right="725" w:firstLine="640"/>
      </w:pPr>
      <w:r>
        <w:rPr>
          <w:rFonts w:hint="eastAsia" w:ascii="Microsoft JhengHei" w:eastAsia="Microsoft JhengHei"/>
          <w:b/>
          <w:spacing w:val="5"/>
          <w:w w:val="95"/>
        </w:rPr>
        <w:t>一、基本支出</w:t>
      </w:r>
      <w:r>
        <w:rPr>
          <w:spacing w:val="4"/>
          <w:w w:val="95"/>
        </w:rPr>
        <w:t xml:space="preserve">：指为保障机构正常运转、完成日常工作任务 </w:t>
      </w:r>
      <w:r>
        <w:t>而发生的人员支出和公用支出。</w:t>
      </w:r>
    </w:p>
    <w:p>
      <w:pPr>
        <w:pStyle w:val="6"/>
        <w:spacing w:before="2" w:line="288" w:lineRule="auto"/>
        <w:ind w:right="725" w:firstLine="640"/>
      </w:pPr>
      <w:r>
        <w:rPr>
          <w:rFonts w:hint="eastAsia" w:ascii="Microsoft JhengHei" w:eastAsia="Microsoft JhengHei"/>
          <w:b/>
          <w:spacing w:val="5"/>
          <w:w w:val="95"/>
        </w:rPr>
        <w:t>二、项目支出</w:t>
      </w:r>
      <w:r>
        <w:rPr>
          <w:spacing w:val="4"/>
          <w:w w:val="95"/>
        </w:rPr>
        <w:t xml:space="preserve">：指在基本支出之外为完成特定行政任务和事 </w:t>
      </w:r>
      <w:r>
        <w:t>业发展目标所发生的支出。</w:t>
      </w:r>
    </w:p>
    <w:p>
      <w:pPr>
        <w:pStyle w:val="6"/>
        <w:spacing w:before="2" w:line="288" w:lineRule="auto"/>
        <w:ind w:right="725" w:firstLine="640"/>
      </w:pPr>
      <w:r>
        <w:rPr>
          <w:rFonts w:hint="eastAsia" w:ascii="Microsoft JhengHei" w:hAnsi="Microsoft JhengHei" w:eastAsia="Microsoft JhengHei"/>
          <w:b/>
          <w:spacing w:val="5"/>
          <w:w w:val="95"/>
        </w:rPr>
        <w:t>三、“三公”经费</w:t>
      </w:r>
      <w:r>
        <w:rPr>
          <w:spacing w:val="3"/>
          <w:w w:val="95"/>
        </w:rPr>
        <w:t xml:space="preserve">：指省直部门用一般公共预算安排的因公 </w:t>
      </w:r>
      <w:r>
        <w:rPr>
          <w:spacing w:val="5"/>
          <w:w w:val="95"/>
        </w:rPr>
        <w:t>出国（境）</w:t>
      </w:r>
      <w:r>
        <w:rPr>
          <w:spacing w:val="4"/>
          <w:w w:val="95"/>
        </w:rPr>
        <w:t>费用、公务用车购置及运行费和公务接待费。其中：</w:t>
      </w:r>
    </w:p>
    <w:p>
      <w:pPr>
        <w:pStyle w:val="6"/>
        <w:spacing w:before="107" w:line="350" w:lineRule="auto"/>
        <w:ind w:right="725"/>
        <w:jc w:val="both"/>
      </w:pPr>
      <w:r>
        <w:rPr>
          <w:spacing w:val="5"/>
          <w:w w:val="95"/>
        </w:rPr>
        <w:t>因公出国（境）费用反映单位公务出国（境）</w:t>
      </w:r>
      <w:r>
        <w:rPr>
          <w:spacing w:val="2"/>
          <w:w w:val="95"/>
        </w:rPr>
        <w:t xml:space="preserve">的国际旅费、国外  </w:t>
      </w:r>
      <w:r>
        <w:rPr>
          <w:spacing w:val="4"/>
          <w:w w:val="95"/>
        </w:rPr>
        <w:t xml:space="preserve">城市间交通费、住宿费、伙食费、培训费、公杂费等支出；公务  </w:t>
      </w:r>
      <w:r>
        <w:rPr>
          <w:spacing w:val="5"/>
          <w:w w:val="95"/>
        </w:rPr>
        <w:t>用车购置费反映公务用车购置支出（含车辆购置税、牌照费</w:t>
      </w:r>
      <w:r>
        <w:rPr>
          <w:spacing w:val="-7"/>
          <w:w w:val="95"/>
        </w:rPr>
        <w:t xml:space="preserve">）； </w:t>
      </w:r>
      <w:r>
        <w:rPr>
          <w:spacing w:val="4"/>
          <w:w w:val="95"/>
        </w:rPr>
        <w:t>公务用车运行维护费反映单位按规定保留的公务用车燃料费、维</w:t>
      </w:r>
    </w:p>
    <w:p>
      <w:pPr>
        <w:spacing w:after="0" w:line="350" w:lineRule="auto"/>
        <w:jc w:val="both"/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</w:p>
    <w:p>
      <w:pPr>
        <w:pStyle w:val="6"/>
        <w:spacing w:before="43" w:line="350" w:lineRule="auto"/>
        <w:ind w:right="725"/>
        <w:jc w:val="both"/>
      </w:pPr>
      <w:r>
        <w:rPr>
          <w:spacing w:val="4"/>
          <w:w w:val="95"/>
        </w:rPr>
        <w:t xml:space="preserve">修费、过路过桥费、保险费、安全奖励费用等支出；公务接待费  </w:t>
      </w:r>
      <w:r>
        <w:rPr>
          <w:spacing w:val="5"/>
          <w:w w:val="95"/>
        </w:rPr>
        <w:t>反映机关和参公事业单位按规定开支的各类公务接待（</w:t>
      </w:r>
      <w:r>
        <w:rPr>
          <w:spacing w:val="-1"/>
          <w:w w:val="95"/>
        </w:rPr>
        <w:t xml:space="preserve">含外宾接 </w:t>
      </w:r>
      <w:r>
        <w:t>待）支出。</w:t>
      </w:r>
    </w:p>
    <w:p>
      <w:pPr>
        <w:spacing w:before="0" w:line="487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四、机关运行经费</w:t>
      </w:r>
      <w:r>
        <w:rPr>
          <w:sz w:val="32"/>
        </w:rPr>
        <w:t>：指行政单位和参照公务员法管理的事业</w:t>
      </w:r>
    </w:p>
    <w:p>
      <w:pPr>
        <w:pStyle w:val="6"/>
        <w:spacing w:before="117" w:line="350" w:lineRule="auto"/>
        <w:ind w:right="725"/>
      </w:pPr>
      <w:r>
        <w:rPr>
          <w:spacing w:val="4"/>
          <w:w w:val="95"/>
        </w:rPr>
        <w:t xml:space="preserve">单位使用一般公共预算财政拨款安排的基本支出中的公用经费支 </w:t>
      </w:r>
      <w:r>
        <w:t>出。</w:t>
      </w:r>
    </w:p>
    <w:p>
      <w:pPr>
        <w:spacing w:before="0" w:line="486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五、政府购买服务</w:t>
      </w:r>
      <w:r>
        <w:rPr>
          <w:sz w:val="32"/>
        </w:rPr>
        <w:t>：根据我国现行政策规定，政府购买服务，</w:t>
      </w:r>
    </w:p>
    <w:p>
      <w:pPr>
        <w:pStyle w:val="6"/>
        <w:spacing w:before="117" w:line="350" w:lineRule="auto"/>
        <w:ind w:right="725"/>
        <w:jc w:val="both"/>
      </w:pPr>
      <w:r>
        <w:rPr>
          <w:spacing w:val="4"/>
          <w:w w:val="95"/>
        </w:rPr>
        <w:t xml:space="preserve">是指充分发挥市场机制作用，将国家机关属于自身职责范围且适  合通过市场化方式提供的服务事项，按照政府采购方式和程序，  交由符合条件的服务供应商承担，并根据服务数量和质量等情况 </w:t>
      </w:r>
      <w:r>
        <w:t>向其支付费用的行为。</w:t>
      </w:r>
    </w:p>
    <w:p>
      <w:pPr>
        <w:spacing w:before="0" w:line="488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六、一般公共预算：</w:t>
      </w:r>
      <w:r>
        <w:rPr>
          <w:sz w:val="32"/>
        </w:rPr>
        <w:t>是指以税收为主体的财政收入，安排用</w:t>
      </w:r>
    </w:p>
    <w:p>
      <w:pPr>
        <w:pStyle w:val="6"/>
        <w:spacing w:before="117" w:line="350" w:lineRule="auto"/>
        <w:ind w:right="725"/>
      </w:pPr>
      <w:r>
        <w:rPr>
          <w:spacing w:val="4"/>
          <w:w w:val="95"/>
        </w:rPr>
        <w:t xml:space="preserve">于保障和改善民生、推动经济社会发展、维护国家安全、维持国 </w:t>
      </w:r>
      <w:r>
        <w:t>家机构正常运转等方面的收支预算。</w:t>
      </w:r>
    </w:p>
    <w:p>
      <w:pPr>
        <w:spacing w:before="0" w:line="486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七、政府性基金预算</w:t>
      </w:r>
      <w:r>
        <w:rPr>
          <w:sz w:val="32"/>
        </w:rPr>
        <w:t>：是对依照法律、行政法规的规定在一</w:t>
      </w:r>
    </w:p>
    <w:p>
      <w:pPr>
        <w:pStyle w:val="6"/>
        <w:spacing w:before="117" w:line="350" w:lineRule="auto"/>
        <w:ind w:right="725"/>
      </w:pPr>
      <w:r>
        <w:rPr>
          <w:spacing w:val="4"/>
          <w:w w:val="95"/>
        </w:rPr>
        <w:t xml:space="preserve">定期限内向特定对象征收、收取或者以其他方式筹集的资金，专 </w:t>
      </w:r>
      <w:r>
        <w:t>项用于特定公共事业发展的收支预算。</w:t>
      </w:r>
    </w:p>
    <w:p>
      <w:pPr>
        <w:spacing w:before="0" w:line="486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八、国有资本经营预算</w:t>
      </w:r>
      <w:r>
        <w:rPr>
          <w:sz w:val="32"/>
        </w:rPr>
        <w:t>：是对国有资本收益作出支出安排的</w:t>
      </w:r>
    </w:p>
    <w:p>
      <w:pPr>
        <w:pStyle w:val="6"/>
        <w:spacing w:before="117"/>
      </w:pPr>
      <w:r>
        <w:t>收支预算。</w:t>
      </w:r>
    </w:p>
    <w:p>
      <w:pPr>
        <w:pStyle w:val="6"/>
        <w:spacing w:before="30" w:line="600" w:lineRule="exact"/>
        <w:ind w:right="725" w:firstLine="640"/>
        <w:jc w:val="both"/>
      </w:pPr>
      <w:r>
        <w:rPr>
          <w:rFonts w:hint="eastAsia" w:ascii="Microsoft JhengHei" w:eastAsia="Microsoft JhengHei"/>
          <w:b/>
          <w:spacing w:val="5"/>
          <w:w w:val="95"/>
        </w:rPr>
        <w:t>九、财政专户管理资金</w:t>
      </w:r>
      <w:r>
        <w:rPr>
          <w:spacing w:val="3"/>
          <w:w w:val="95"/>
        </w:rPr>
        <w:t xml:space="preserve">：专指教育收费，包括目前在财政专 </w:t>
      </w:r>
      <w:r>
        <w:rPr>
          <w:spacing w:val="4"/>
          <w:w w:val="95"/>
        </w:rPr>
        <w:t xml:space="preserve">户管理的高中以上学费、住宿费，高校委托培养费，党校收费， </w:t>
      </w:r>
      <w:r>
        <w:t>教育考试考务费，函大、电大、夜大及短训班培训费等。</w:t>
      </w:r>
    </w:p>
    <w:p>
      <w:pPr>
        <w:spacing w:before="55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十、单位资金</w:t>
      </w:r>
      <w:r>
        <w:rPr>
          <w:sz w:val="32"/>
        </w:rPr>
        <w:t>：是指除政府预算资金和财政专户管理资金以</w:t>
      </w:r>
    </w:p>
    <w:p>
      <w:pPr>
        <w:spacing w:after="0"/>
        <w:jc w:val="left"/>
        <w:rPr>
          <w:sz w:val="32"/>
        </w:rPr>
        <w:sectPr>
          <w:pgSz w:w="11910" w:h="16840"/>
          <w:pgMar w:top="1134" w:right="850" w:bottom="850" w:left="850" w:header="0" w:footer="1079" w:gutter="0"/>
          <w:cols w:space="720" w:num="1"/>
          <w:rtlGutter w:val="0"/>
          <w:docGrid w:linePitch="0" w:charSpace="0"/>
        </w:sectPr>
      </w:pPr>
    </w:p>
    <w:p>
      <w:pPr>
        <w:pStyle w:val="6"/>
        <w:spacing w:before="43" w:line="350" w:lineRule="auto"/>
        <w:ind w:right="725"/>
      </w:pPr>
      <w:r>
        <w:rPr>
          <w:spacing w:val="4"/>
          <w:w w:val="95"/>
        </w:rPr>
        <w:t xml:space="preserve">外的资金，包括事业收入、事业单位经营收入、上级补助收入、 </w:t>
      </w:r>
      <w:r>
        <w:t>附属单位上缴收入、其他收入。</w:t>
      </w:r>
    </w:p>
    <w:p>
      <w:pPr>
        <w:spacing w:before="0" w:line="486" w:lineRule="exact"/>
        <w:ind w:left="967" w:right="0" w:firstLine="0"/>
        <w:jc w:val="left"/>
        <w:rPr>
          <w:sz w:val="32"/>
        </w:rPr>
      </w:pPr>
      <w:r>
        <w:rPr>
          <w:rFonts w:hint="eastAsia" w:ascii="Microsoft JhengHei" w:eastAsia="Microsoft JhengHei"/>
          <w:b/>
          <w:sz w:val="32"/>
        </w:rPr>
        <w:t>十一、上年结转</w:t>
      </w:r>
      <w:r>
        <w:rPr>
          <w:sz w:val="32"/>
        </w:rPr>
        <w:t>：指以前年度预算安排、结转到本年仍按原</w:t>
      </w:r>
    </w:p>
    <w:p>
      <w:pPr>
        <w:pStyle w:val="6"/>
        <w:spacing w:before="117"/>
      </w:pPr>
      <w:r>
        <w:t>规定用途继续使用的资金。</w:t>
      </w:r>
    </w:p>
    <w:sectPr>
      <w:pgSz w:w="11910" w:h="16840"/>
      <w:pgMar w:top="1134" w:right="850" w:bottom="850" w:left="850" w:header="0" w:footer="1079" w:gutter="0"/>
      <w:cols w:space="72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Microsoft JhengHei">
    <w:altName w:val="PMingLiU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0"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3939540</wp:posOffset>
              </wp:positionH>
              <wp:positionV relativeFrom="page">
                <wp:posOffset>9866630</wp:posOffset>
              </wp:positionV>
              <wp:extent cx="123825" cy="15875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6"/>
                            <w:ind w:left="4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100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10.2pt;margin-top:776.9pt;height:12.5pt;width:9.75pt;mso-position-horizontal-relative:page;mso-position-vertical-relative:page;z-index:-251657216;mso-width-relative:page;mso-height-relative:page;" filled="f" stroked="f" coordsize="21600,21600" o:gfxdata="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BnEHivbAAAADQEAAA8AAAAAAAAAAQAgAAAAIgAAAGRycy9kb3ducmV2LnhtbFBL&#10;AQIUABQAAAAIAIdO4kChi9wu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"/>
                      <w:ind w:left="4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100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0"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3903345</wp:posOffset>
              </wp:positionH>
              <wp:positionV relativeFrom="page">
                <wp:posOffset>9866630</wp:posOffset>
              </wp:positionV>
              <wp:extent cx="195580" cy="15875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58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6"/>
                            <w:ind w:left="4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307.35pt;margin-top:776.9pt;height:12.5pt;width:15.4pt;mso-position-horizontal-relative:page;mso-position-vertical-relative:page;z-index:-251656192;mso-width-relative:page;mso-height-relative:page;" filled="f" stroked="f" coordsize="21600,21600" o:gfxdata="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cTtctsAAAANAQAADwAAAAAAAAABACAAAAAiAAAAZHJzL2Rvd25yZXYueG1sUEsB&#10;AhQAFAAAAAgAh07iQCi/t865AQAAcQMAAA4AAAAAAAAAAQAgAAAAK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"/>
                      <w:ind w:left="4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0"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3903345</wp:posOffset>
              </wp:positionH>
              <wp:positionV relativeFrom="page">
                <wp:posOffset>9866630</wp:posOffset>
              </wp:positionV>
              <wp:extent cx="195580" cy="158750"/>
              <wp:effectExtent l="0" t="0" r="0" b="0"/>
              <wp:wrapNone/>
              <wp:docPr id="2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58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6"/>
                            <w:ind w:left="4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307.35pt;margin-top:776.9pt;height:12.5pt;width:15.4pt;mso-position-horizontal-relative:page;mso-position-vertical-relative:page;z-index:-251656192;mso-width-relative:page;mso-height-relative:page;" filled="f" stroked="f" coordsize="21600,21600" o:gfxdata="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XE7XLbAAAADQEAAA8AAAAAAAAAAQAgAAAAIgAAAGRycy9kb3ducmV2LnhtbFBL&#10;AQIUABQAAAAIAIdO4kDn22Q9ugEAAHI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"/>
                      <w:ind w:left="4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0"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3903345</wp:posOffset>
              </wp:positionH>
              <wp:positionV relativeFrom="page">
                <wp:posOffset>9866630</wp:posOffset>
              </wp:positionV>
              <wp:extent cx="195580" cy="15875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58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6"/>
                            <w:ind w:left="40" w:right="0" w:firstLine="0"/>
                            <w:jc w:val="left"/>
                            <w:rPr>
                              <w:rFonts w:ascii="Verdana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307.35pt;margin-top:776.9pt;height:12.5pt;width:15.4pt;mso-position-horizontal-relative:page;mso-position-vertical-relative:page;z-index:-251655168;mso-width-relative:page;mso-height-relative:page;" filled="f" stroked="f" coordsize="21600,21600" o:gfxdata="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XE7XLbAAAADQEAAA8AAAAAAAAAAQAgAAAAIgAAAGRycy9kb3ducmV2LnhtbFBL&#10;AQIUABQAAAAIAIdO4kBE1gUlugEAAHEDAAAOAAAAAAAAAAEAIAAAACo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6"/>
                      <w:ind w:left="40" w:right="0" w:firstLine="0"/>
                      <w:jc w:val="left"/>
                      <w:rPr>
                        <w:rFonts w:ascii="Verdana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0CE484"/>
    <w:multiLevelType w:val="singleLevel"/>
    <w:tmpl w:val="850CE48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CEE0ACD"/>
    <w:multiLevelType w:val="singleLevel"/>
    <w:tmpl w:val="6CEE0AC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EC3563"/>
    <w:rsid w:val="29426172"/>
    <w:rsid w:val="32EC771B"/>
    <w:rsid w:val="36895F8F"/>
    <w:rsid w:val="3AEE057D"/>
    <w:rsid w:val="4A884944"/>
    <w:rsid w:val="4BC642AB"/>
    <w:rsid w:val="521576CD"/>
    <w:rsid w:val="5F110743"/>
    <w:rsid w:val="67070F87"/>
    <w:rsid w:val="6EED7038"/>
    <w:rsid w:val="70D74C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4">
    <w:name w:val="heading 1"/>
    <w:basedOn w:val="1"/>
    <w:next w:val="1"/>
    <w:qFormat/>
    <w:uiPriority w:val="1"/>
    <w:pPr>
      <w:spacing w:before="40"/>
      <w:ind w:right="399"/>
      <w:jc w:val="center"/>
      <w:outlineLvl w:val="1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5">
    <w:name w:val="heading 2"/>
    <w:basedOn w:val="1"/>
    <w:next w:val="1"/>
    <w:qFormat/>
    <w:uiPriority w:val="0"/>
    <w:pPr>
      <w:keepNext/>
      <w:keepLines/>
      <w:spacing w:line="240" w:lineRule="auto"/>
      <w:ind w:firstLine="640" w:firstLineChars="200"/>
      <w:jc w:val="left"/>
      <w:outlineLvl w:val="1"/>
    </w:pPr>
    <w:rPr>
      <w:rFonts w:ascii="黑体" w:hAnsi="黑体" w:eastAsia="黑体" w:cs="Times New Roman"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"/>
    <w:basedOn w:val="1"/>
    <w:qFormat/>
    <w:uiPriority w:val="1"/>
    <w:pPr>
      <w:spacing w:before="190"/>
      <w:ind w:left="326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7">
    <w:name w:val="toc 3"/>
    <w:basedOn w:val="1"/>
    <w:next w:val="1"/>
    <w:qFormat/>
    <w:uiPriority w:val="1"/>
    <w:pPr>
      <w:spacing w:before="190"/>
      <w:ind w:left="967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8">
    <w:name w:val="toc 1"/>
    <w:basedOn w:val="1"/>
    <w:next w:val="1"/>
    <w:qFormat/>
    <w:uiPriority w:val="1"/>
    <w:pPr>
      <w:spacing w:before="190"/>
      <w:ind w:right="726"/>
      <w:jc w:val="right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toc 2"/>
    <w:basedOn w:val="1"/>
    <w:next w:val="1"/>
    <w:qFormat/>
    <w:uiPriority w:val="1"/>
    <w:pPr>
      <w:spacing w:before="84"/>
      <w:ind w:left="326"/>
    </w:pPr>
    <w:rPr>
      <w:rFonts w:ascii="Microsoft JhengHei" w:hAnsi="Microsoft JhengHei" w:eastAsia="Microsoft JhengHei" w:cs="Microsoft JhengHei"/>
      <w:b/>
      <w:bCs/>
      <w:sz w:val="32"/>
      <w:szCs w:val="32"/>
      <w:lang w:val="zh-CN" w:eastAsia="zh-CN" w:bidi="zh-CN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rPr>
      <w:lang w:val="zh-CN" w:eastAsia="zh-CN" w:bidi="zh-CN"/>
    </w:rPr>
  </w:style>
  <w:style w:type="paragraph" w:customStyle="1" w:styleId="14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2022-03-13T07:51:00Z</dcterms:created>
  <dc:creator>Administrator</dc:creator>
  <cp:lastModifiedBy>Administrator</cp:lastModifiedBy>
  <cp:lastPrinted>2022-03-15T02:35:00Z</cp:lastPrinted>
  <dcterms:modified xsi:type="dcterms:W3CDTF">2022-03-18T08:52:57Z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PDFium</vt:lpwstr>
  </property>
  <property fmtid="{D5CDD505-2E9C-101B-9397-08002B2CF9AE}" pid="4" name="LastSaved">
    <vt:filetime>2022-02-21T00:00:00Z</vt:filetime>
  </property>
  <property fmtid="{D5CDD505-2E9C-101B-9397-08002B2CF9AE}" pid="5" name="KSOProductBuildVer">
    <vt:lpwstr>2052-11.1.0.10314</vt:lpwstr>
  </property>
  <property fmtid="{D5CDD505-2E9C-101B-9397-08002B2CF9AE}" pid="6" name="ICV">
    <vt:lpwstr>F8CDB700BEEB46EF94194B84ADCDFCC2</vt:lpwstr>
  </property>
</Properties>
</file>