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20" w:lineRule="atLeast"/>
        <w:jc w:val="center"/>
        <w:rPr>
          <w:rFonts w:hint="eastAsia" w:asciiTheme="majorEastAsia" w:hAnsiTheme="majorEastAsia" w:eastAsiaTheme="majorEastAsia"/>
          <w:b/>
          <w:sz w:val="40"/>
          <w:szCs w:val="40"/>
        </w:rPr>
      </w:pPr>
      <w:r>
        <w:rPr>
          <w:rFonts w:hint="eastAsia" w:asciiTheme="majorEastAsia" w:hAnsiTheme="majorEastAsia" w:eastAsiaTheme="majorEastAsia"/>
          <w:b/>
          <w:sz w:val="40"/>
          <w:szCs w:val="40"/>
        </w:rPr>
        <w:t>大同市平城区东街社区卫生服务中心</w:t>
      </w:r>
    </w:p>
    <w:p>
      <w:pPr>
        <w:spacing w:line="220" w:lineRule="atLeast"/>
        <w:jc w:val="center"/>
        <w:rPr>
          <w:rFonts w:hint="eastAsia" w:asciiTheme="majorEastAsia" w:hAnsiTheme="majorEastAsia" w:eastAsiaTheme="majorEastAsia"/>
          <w:b/>
          <w:sz w:val="40"/>
          <w:szCs w:val="40"/>
          <w:lang w:eastAsia="zh-CN"/>
        </w:rPr>
      </w:pPr>
      <w:r>
        <w:rPr>
          <w:rFonts w:hint="eastAsia" w:asciiTheme="majorEastAsia" w:hAnsiTheme="majorEastAsia" w:eastAsiaTheme="majorEastAsia"/>
          <w:b/>
          <w:sz w:val="40"/>
          <w:szCs w:val="40"/>
        </w:rPr>
        <w:t>2020年度决算</w:t>
      </w:r>
      <w:r>
        <w:rPr>
          <w:rFonts w:hint="eastAsia" w:asciiTheme="majorEastAsia" w:hAnsiTheme="majorEastAsia" w:eastAsiaTheme="majorEastAsia"/>
          <w:b/>
          <w:sz w:val="40"/>
          <w:szCs w:val="40"/>
          <w:lang w:eastAsia="zh-CN"/>
        </w:rPr>
        <w:t>公开</w:t>
      </w:r>
    </w:p>
    <w:p>
      <w:pPr>
        <w:pStyle w:val="2"/>
        <w:widowControl/>
        <w:shd w:val="clear" w:color="auto" w:fill="FFFFFF"/>
        <w:spacing w:before="0" w:beforeAutospacing="0" w:after="0" w:afterAutospacing="0" w:line="840" w:lineRule="atLeast"/>
        <w:jc w:val="center"/>
        <w:rPr>
          <w:rFonts w:ascii="仿宋" w:hAnsi="仿宋" w:eastAsia="仿宋" w:cs="微软雅黑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  <w:shd w:val="clear" w:color="auto" w:fill="FFFFFF"/>
        </w:rPr>
        <w:t>目   录</w:t>
      </w:r>
    </w:p>
    <w:p>
      <w:pPr>
        <w:pStyle w:val="5"/>
        <w:widowControl/>
        <w:spacing w:before="300" w:beforeAutospacing="0" w:after="0" w:afterAutospacing="0" w:line="30" w:lineRule="atLeast"/>
        <w:ind w:firstLine="420"/>
        <w:jc w:val="both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shd w:val="clear" w:color="auto" w:fill="FFFFFF"/>
        </w:rPr>
        <w:t>第一部分　单位概况</w:t>
      </w:r>
    </w:p>
    <w:p>
      <w:pPr>
        <w:pStyle w:val="5"/>
        <w:widowControl/>
        <w:spacing w:before="300" w:beforeAutospacing="0" w:after="0" w:afterAutospacing="0" w:line="30" w:lineRule="atLeast"/>
        <w:ind w:firstLine="420"/>
        <w:jc w:val="both"/>
        <w:rPr>
          <w:rFonts w:hint="eastAsia" w:ascii="仿宋" w:hAnsi="仿宋" w:eastAsia="仿宋" w:cs="宋体"/>
          <w:color w:val="00000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</w:rPr>
        <w:t>一、单位职责</w:t>
      </w:r>
    </w:p>
    <w:p>
      <w:pPr>
        <w:pStyle w:val="5"/>
        <w:widowControl/>
        <w:spacing w:before="300" w:beforeAutospacing="0" w:after="0" w:afterAutospacing="0" w:line="30" w:lineRule="atLeast"/>
        <w:ind w:firstLine="420"/>
        <w:jc w:val="both"/>
        <w:rPr>
          <w:rFonts w:hint="eastAsia" w:ascii="仿宋" w:hAnsi="仿宋" w:eastAsia="仿宋" w:cs="宋体"/>
          <w:color w:val="00000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</w:rPr>
        <w:t>二、机构设置情况</w:t>
      </w:r>
    </w:p>
    <w:p>
      <w:pPr>
        <w:pStyle w:val="5"/>
        <w:widowControl/>
        <w:spacing w:before="300" w:beforeAutospacing="0" w:after="0" w:afterAutospacing="0" w:line="30" w:lineRule="atLeast"/>
        <w:ind w:firstLine="420"/>
        <w:jc w:val="both"/>
        <w:rPr>
          <w:rFonts w:hint="eastAsia" w:ascii="黑体" w:hAnsi="黑体" w:eastAsia="黑体" w:cs="黑体"/>
          <w:color w:val="00000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shd w:val="clear" w:color="auto" w:fill="FFFFFF"/>
        </w:rPr>
        <w:t>第二部分　2020年度单位公开决算表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0" w:afterAutospacing="0" w:line="30" w:lineRule="atLeast"/>
        <w:ind w:firstLine="480" w:firstLineChars="150"/>
        <w:jc w:val="both"/>
        <w:textAlignment w:val="auto"/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</w:rPr>
        <w:t>收入支出决算</w:t>
      </w:r>
      <w:r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  <w:lang w:eastAsia="zh-CN"/>
        </w:rPr>
        <w:t>总</w:t>
      </w:r>
      <w:r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</w:rPr>
        <w:t>表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0" w:afterAutospacing="0" w:line="30" w:lineRule="atLeast"/>
        <w:ind w:firstLine="480" w:firstLineChars="150"/>
        <w:jc w:val="both"/>
        <w:textAlignment w:val="auto"/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</w:rPr>
        <w:t>收入决算表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0" w:afterAutospacing="0" w:line="30" w:lineRule="atLeast"/>
        <w:ind w:firstLine="480" w:firstLineChars="150"/>
        <w:jc w:val="both"/>
        <w:textAlignment w:val="auto"/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</w:rPr>
        <w:t>支出决算表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0" w:afterAutospacing="0" w:line="30" w:lineRule="atLeast"/>
        <w:ind w:firstLine="480" w:firstLineChars="150"/>
        <w:jc w:val="both"/>
        <w:textAlignment w:val="auto"/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</w:rPr>
        <w:t>财政拨款收入支出决算</w:t>
      </w:r>
      <w:r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  <w:lang w:eastAsia="zh-CN"/>
        </w:rPr>
        <w:t>总</w:t>
      </w:r>
      <w:r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</w:rPr>
        <w:t>表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0" w:afterAutospacing="0" w:line="30" w:lineRule="atLeast"/>
        <w:ind w:firstLine="480" w:firstLineChars="150"/>
        <w:jc w:val="both"/>
        <w:textAlignment w:val="auto"/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</w:rPr>
        <w:t>一般公共预算财政拨款支出决算表（一）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0" w:afterAutospacing="0" w:line="30" w:lineRule="atLeast"/>
        <w:ind w:firstLine="480" w:firstLineChars="150"/>
        <w:jc w:val="both"/>
        <w:textAlignment w:val="auto"/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</w:rPr>
        <w:t>一般公共预算财政拨款支出决算表（二）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0" w:afterAutospacing="0" w:line="30" w:lineRule="atLeast"/>
        <w:ind w:firstLine="480" w:firstLineChars="150"/>
        <w:jc w:val="both"/>
        <w:textAlignment w:val="auto"/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</w:rPr>
        <w:t>一般公共预算财政拨款“三公”经费支出决算表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0" w:afterAutospacing="0" w:line="30" w:lineRule="atLeast"/>
        <w:ind w:firstLine="480" w:firstLineChars="150"/>
        <w:jc w:val="both"/>
        <w:textAlignment w:val="auto"/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</w:rPr>
        <w:t>政府性基金预算财政拨款收入支出决算表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0" w:afterAutospacing="0" w:line="30" w:lineRule="atLeast"/>
        <w:ind w:firstLine="480" w:firstLineChars="150"/>
        <w:jc w:val="both"/>
        <w:textAlignment w:val="auto"/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  <w:lang w:eastAsia="zh-CN"/>
        </w:rPr>
        <w:t>国有资本经营预算财政拨款支出决算表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0" w:afterAutospacing="0" w:line="30" w:lineRule="atLeast"/>
        <w:ind w:firstLine="480" w:firstLineChars="150"/>
        <w:jc w:val="both"/>
        <w:textAlignment w:val="auto"/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</w:rPr>
        <w:t>部门决算公开相关信息统计表</w:t>
      </w:r>
    </w:p>
    <w:p>
      <w:pPr>
        <w:pStyle w:val="5"/>
        <w:widowControl/>
        <w:spacing w:before="300" w:beforeAutospacing="0" w:after="0" w:afterAutospacing="0" w:line="30" w:lineRule="atLeast"/>
        <w:ind w:left="440" w:leftChars="200"/>
        <w:jc w:val="both"/>
        <w:rPr>
          <w:rFonts w:hint="eastAsia" w:ascii="黑体" w:hAnsi="黑体" w:eastAsia="黑体" w:cs="黑体"/>
          <w:color w:val="00000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shd w:val="clear" w:color="auto" w:fill="FFFFFF"/>
        </w:rPr>
        <w:t>第</w:t>
      </w:r>
      <w:r>
        <w:rPr>
          <w:rFonts w:hint="eastAsia" w:ascii="黑体" w:hAnsi="黑体" w:eastAsia="黑体" w:cs="黑体"/>
          <w:color w:val="000000"/>
          <w:sz w:val="32"/>
          <w:szCs w:val="32"/>
          <w:shd w:val="clear" w:color="auto" w:fill="FFFFFF"/>
        </w:rPr>
        <w:t>三部分2020年度单位决算情况说明</w:t>
      </w:r>
    </w:p>
    <w:p>
      <w:pPr>
        <w:pStyle w:val="5"/>
        <w:widowControl/>
        <w:numPr>
          <w:ilvl w:val="0"/>
          <w:numId w:val="2"/>
        </w:numPr>
        <w:spacing w:before="300" w:beforeAutospacing="0" w:after="0" w:afterAutospacing="0" w:line="30" w:lineRule="atLeast"/>
        <w:ind w:left="440" w:leftChars="200"/>
        <w:jc w:val="both"/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</w:rPr>
        <w:t>收入决算情况说明</w:t>
      </w:r>
    </w:p>
    <w:p>
      <w:pPr>
        <w:pStyle w:val="5"/>
        <w:widowControl/>
        <w:numPr>
          <w:ilvl w:val="0"/>
          <w:numId w:val="2"/>
        </w:numPr>
        <w:spacing w:before="300" w:beforeAutospacing="0" w:after="0" w:afterAutospacing="0" w:line="30" w:lineRule="atLeast"/>
        <w:ind w:left="440" w:leftChars="200"/>
        <w:jc w:val="both"/>
        <w:rPr>
          <w:rFonts w:ascii="仿宋" w:hAnsi="仿宋" w:eastAsia="仿宋" w:cs="宋体"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</w:rPr>
        <w:t>支出决算情况说明</w:t>
      </w:r>
    </w:p>
    <w:p>
      <w:pPr>
        <w:pStyle w:val="5"/>
        <w:widowControl/>
        <w:numPr>
          <w:ilvl w:val="0"/>
          <w:numId w:val="2"/>
        </w:numPr>
        <w:spacing w:before="300" w:beforeAutospacing="0" w:after="0" w:afterAutospacing="0" w:line="30" w:lineRule="atLeast"/>
        <w:ind w:left="440" w:leftChars="200"/>
        <w:jc w:val="both"/>
        <w:rPr>
          <w:rFonts w:ascii="仿宋" w:hAnsi="仿宋" w:eastAsia="仿宋" w:cs="宋体"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</w:rPr>
        <w:t>一般公共预算财政拨款支出决算情况说明</w:t>
      </w:r>
    </w:p>
    <w:p>
      <w:pPr>
        <w:pStyle w:val="5"/>
        <w:widowControl/>
        <w:numPr>
          <w:ilvl w:val="0"/>
          <w:numId w:val="2"/>
        </w:numPr>
        <w:spacing w:before="300" w:beforeAutospacing="0" w:after="0" w:afterAutospacing="0" w:line="30" w:lineRule="atLeast"/>
        <w:ind w:left="440" w:leftChars="200"/>
        <w:jc w:val="both"/>
        <w:rPr>
          <w:rFonts w:ascii="仿宋" w:hAnsi="仿宋" w:eastAsia="仿宋" w:cs="宋体"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</w:rPr>
        <w:t>政府采购情况说明</w:t>
      </w:r>
    </w:p>
    <w:p>
      <w:pPr>
        <w:pStyle w:val="5"/>
        <w:widowControl/>
        <w:numPr>
          <w:ilvl w:val="0"/>
          <w:numId w:val="2"/>
        </w:numPr>
        <w:spacing w:before="300" w:beforeAutospacing="0" w:after="0" w:afterAutospacing="0" w:line="30" w:lineRule="atLeast"/>
        <w:ind w:left="440" w:leftChars="200"/>
        <w:jc w:val="both"/>
        <w:rPr>
          <w:rFonts w:ascii="仿宋" w:hAnsi="仿宋" w:eastAsia="仿宋" w:cs="宋体"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</w:rPr>
        <w:t>“三公”经费情况说明</w:t>
      </w:r>
    </w:p>
    <w:p>
      <w:pPr>
        <w:pStyle w:val="5"/>
        <w:widowControl/>
        <w:numPr>
          <w:ilvl w:val="0"/>
          <w:numId w:val="2"/>
        </w:numPr>
        <w:spacing w:before="300" w:beforeAutospacing="0" w:after="0" w:afterAutospacing="0" w:line="30" w:lineRule="atLeast"/>
        <w:ind w:left="440" w:leftChars="200"/>
        <w:jc w:val="both"/>
        <w:rPr>
          <w:rFonts w:ascii="仿宋" w:hAnsi="仿宋" w:eastAsia="仿宋" w:cs="宋体"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</w:rPr>
        <w:t>国有资产占用情况</w:t>
      </w:r>
    </w:p>
    <w:p>
      <w:pPr>
        <w:pStyle w:val="5"/>
        <w:widowControl/>
        <w:numPr>
          <w:ilvl w:val="0"/>
          <w:numId w:val="2"/>
        </w:numPr>
        <w:spacing w:before="300" w:beforeAutospacing="0" w:after="0" w:afterAutospacing="0" w:line="30" w:lineRule="atLeast"/>
        <w:ind w:left="440" w:leftChars="200"/>
        <w:jc w:val="both"/>
        <w:rPr>
          <w:rFonts w:ascii="仿宋" w:hAnsi="仿宋" w:eastAsia="仿宋" w:cs="宋体"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</w:rPr>
        <w:t>重点绩效评价情况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spacing w:before="300" w:beforeAutospacing="0" w:after="0" w:afterAutospacing="0" w:line="480" w:lineRule="auto"/>
        <w:ind w:left="440" w:leftChars="200"/>
        <w:jc w:val="both"/>
        <w:textAlignment w:val="auto"/>
        <w:rPr>
          <w:rFonts w:hint="eastAsia" w:ascii="黑体" w:hAnsi="黑体" w:eastAsia="黑体" w:cs="黑体"/>
          <w:color w:val="00000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shd w:val="clear" w:color="auto" w:fill="FFFFFF"/>
        </w:rPr>
        <w:t>专业性名词解释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jc w:val="left"/>
        <w:textAlignment w:val="auto"/>
        <w:rPr>
          <w:rFonts w:hint="eastAsia" w:ascii="黑体" w:hAnsi="黑体" w:eastAsia="黑体" w:cs="黑体"/>
          <w:color w:val="00000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shd w:val="clear" w:color="auto" w:fill="FFFFFF"/>
          <w:lang w:val="en-US" w:eastAsia="zh-CN" w:bidi="ar-SA"/>
        </w:rPr>
        <w:t>第一部分：单位概况</w:t>
      </w:r>
    </w:p>
    <w:p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jc w:val="left"/>
        <w:textAlignment w:val="auto"/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  <w:lang w:val="en-US" w:eastAsia="zh-CN" w:bidi="ar-SA"/>
        </w:rPr>
        <w:t>单位职责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jc w:val="left"/>
        <w:textAlignment w:val="auto"/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  <w:lang w:val="en-US" w:eastAsia="zh-CN" w:bidi="ar-SA"/>
        </w:rPr>
        <w:t>大同市城区东街社区卫生服务中心位于春晖园北门东侧，由原市中医院和市煤炭医院合并，部分重组而来，是市卫健委直属的公益一类事业单位。中心房屋由国债项目投资建设，现有建筑面积1690平方米。中心按一级医疗机构设置，是一所集医疗、预防、保健、康复、健康管理、计划生育“六位一体”的标准化社区卫生服务中心，承担着春晖园、国际丽都、春华园、御锦源、御滨园等小区10242户、24000多居民的基本医疗和公共卫生服务工作，是城镇职工和城乡居民医疗保险定点医疗机构。是市五医院、四医院、中医院医联体单位，是三医院党员共建单位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  <w:lang w:val="en-US" w:eastAsia="zh-CN" w:bidi="ar-SA"/>
        </w:rPr>
        <w:t>二 、机构设置情况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  <w:lang w:val="en-US" w:eastAsia="zh-CN" w:bidi="ar-SA"/>
        </w:rPr>
        <w:t>大同市东街社区卫生服务中心为预算二级事业单位，无下属单位，单位为正科级建制，财政补助事业编制44名（领导职数1正2副），其中管理人员编制6名，专业技术人员编制35名，其他人员3名。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jc w:val="left"/>
        <w:textAlignment w:val="auto"/>
        <w:rPr>
          <w:rFonts w:hint="eastAsia" w:ascii="黑体" w:hAnsi="黑体" w:eastAsia="黑体" w:cs="黑体"/>
          <w:color w:val="00000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shd w:val="clear" w:color="auto" w:fill="FFFFFF"/>
          <w:lang w:val="en-US" w:eastAsia="zh-CN" w:bidi="ar-SA"/>
        </w:rPr>
        <w:t>第二部分：2020年度单位公开决算表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0" w:afterAutospacing="0" w:line="30" w:lineRule="atLeast"/>
        <w:ind w:firstLine="640" w:firstLineChars="200"/>
        <w:jc w:val="both"/>
        <w:textAlignment w:val="auto"/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  <w:lang w:eastAsia="zh-CN"/>
        </w:rPr>
        <w:t>一、</w:t>
      </w:r>
      <w:r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</w:rPr>
        <w:t>收入支出决算</w:t>
      </w:r>
      <w:r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  <w:lang w:eastAsia="zh-CN"/>
        </w:rPr>
        <w:t>总</w:t>
      </w:r>
      <w:r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</w:rPr>
        <w:t>表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0" w:afterAutospacing="0" w:line="30" w:lineRule="atLeast"/>
        <w:ind w:firstLine="640" w:firstLineChars="200"/>
        <w:jc w:val="both"/>
        <w:textAlignment w:val="auto"/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  <w:lang w:eastAsia="zh-CN"/>
        </w:rPr>
        <w:t>二、</w:t>
      </w:r>
      <w:r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</w:rPr>
        <w:t>收入决算表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0" w:afterAutospacing="0" w:line="30" w:lineRule="atLeast"/>
        <w:ind w:firstLine="640" w:firstLineChars="200"/>
        <w:jc w:val="both"/>
        <w:textAlignment w:val="auto"/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  <w:lang w:eastAsia="zh-CN"/>
        </w:rPr>
        <w:t>三、</w:t>
      </w:r>
      <w:r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</w:rPr>
        <w:t>支出决算表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0" w:afterAutospacing="0" w:line="30" w:lineRule="atLeast"/>
        <w:ind w:firstLine="640" w:firstLineChars="200"/>
        <w:jc w:val="both"/>
        <w:textAlignment w:val="auto"/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  <w:lang w:eastAsia="zh-CN"/>
        </w:rPr>
        <w:t>四、</w:t>
      </w:r>
      <w:r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</w:rPr>
        <w:t>财政拨款收入支出决算</w:t>
      </w:r>
      <w:r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  <w:lang w:eastAsia="zh-CN"/>
        </w:rPr>
        <w:t>总</w:t>
      </w:r>
      <w:r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</w:rPr>
        <w:t>表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0" w:afterAutospacing="0" w:line="30" w:lineRule="atLeast"/>
        <w:ind w:firstLine="640" w:firstLineChars="200"/>
        <w:jc w:val="both"/>
        <w:textAlignment w:val="auto"/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  <w:lang w:eastAsia="zh-CN"/>
        </w:rPr>
        <w:t>五、</w:t>
      </w:r>
      <w:r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</w:rPr>
        <w:t>一般公共预算财政拨款支出决算表（一）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0" w:afterAutospacing="0" w:line="30" w:lineRule="atLeast"/>
        <w:ind w:firstLine="640" w:firstLineChars="200"/>
        <w:jc w:val="both"/>
        <w:textAlignment w:val="auto"/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  <w:lang w:eastAsia="zh-CN"/>
        </w:rPr>
        <w:t>六、</w:t>
      </w:r>
      <w:r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</w:rPr>
        <w:t>一般公共预算财政拨款支出决算表（二）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0" w:afterAutospacing="0" w:line="30" w:lineRule="atLeast"/>
        <w:ind w:firstLine="640" w:firstLineChars="200"/>
        <w:jc w:val="both"/>
        <w:textAlignment w:val="auto"/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  <w:lang w:eastAsia="zh-CN"/>
        </w:rPr>
        <w:t>七、</w:t>
      </w:r>
      <w:r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</w:rPr>
        <w:t>一般公共预算财政拨款“三公”经费支出决算表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0" w:afterAutospacing="0" w:line="30" w:lineRule="atLeast"/>
        <w:ind w:firstLine="640" w:firstLineChars="200"/>
        <w:jc w:val="both"/>
        <w:textAlignment w:val="auto"/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  <w:lang w:eastAsia="zh-CN"/>
        </w:rPr>
        <w:t>八、</w:t>
      </w:r>
      <w:r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</w:rPr>
        <w:t>政府性基金预算财政拨款收入支出决算表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0" w:afterAutospacing="0" w:line="30" w:lineRule="atLeast"/>
        <w:ind w:firstLine="640" w:firstLineChars="200"/>
        <w:jc w:val="both"/>
        <w:textAlignment w:val="auto"/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  <w:lang w:eastAsia="zh-CN"/>
        </w:rPr>
        <w:t>九、国有资本经营预算财政拨款支出决算表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0" w:afterAutospacing="0" w:line="30" w:lineRule="atLeast"/>
        <w:ind w:firstLine="640" w:firstLineChars="200"/>
        <w:jc w:val="both"/>
        <w:textAlignment w:val="auto"/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  <w:lang w:eastAsia="zh-CN"/>
        </w:rPr>
        <w:t>十、</w:t>
      </w:r>
      <w:r>
        <w:rPr>
          <w:rFonts w:hint="eastAsia" w:ascii="仿宋" w:hAnsi="仿宋" w:eastAsia="仿宋" w:cs="宋体"/>
          <w:color w:val="000000"/>
          <w:sz w:val="32"/>
          <w:szCs w:val="32"/>
          <w:shd w:val="clear" w:color="auto" w:fill="FFFFFF"/>
        </w:rPr>
        <w:t>部门决算公开相关信息统计表</w:t>
      </w:r>
    </w:p>
    <w:p>
      <w:pPr>
        <w:spacing w:line="220" w:lineRule="atLeast"/>
        <w:jc w:val="left"/>
        <w:rPr>
          <w:rFonts w:hint="eastAsia" w:ascii="仿宋" w:hAnsi="仿宋" w:eastAsia="仿宋" w:cs="宋体"/>
          <w:color w:val="000000"/>
          <w:sz w:val="28"/>
          <w:szCs w:val="28"/>
          <w:shd w:val="clear" w:color="auto" w:fill="FFFFFF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jc w:val="left"/>
        <w:textAlignment w:val="auto"/>
        <w:rPr>
          <w:rFonts w:hint="eastAsia" w:ascii="黑体" w:hAnsi="黑体" w:eastAsia="黑体" w:cs="黑体"/>
          <w:color w:val="00000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shd w:val="clear" w:color="auto" w:fill="FFFFFF"/>
          <w:lang w:val="en-US" w:eastAsia="zh-CN" w:bidi="ar-SA"/>
        </w:rPr>
        <w:t>第三部分：2020年度单位决算情况说明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spacing w:before="300" w:beforeAutospacing="0" w:after="0" w:afterAutospacing="0" w:line="36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收入决算情况说明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sz w:val="32"/>
          <w:szCs w:val="32"/>
        </w:rPr>
        <w:t>大同市平城区东街社区卫生服务中心部门本年收入638.62万元，较去年减少11.89%，其中:一般财政拨款收入317.48万元, 较去年减少8.87%；事业收入127.10万元, 较去年增加1.69%；其他收入194.04万元, 较去年减少22.83%。主要原因是：其他收入中基本公共卫生服务费减少63.31万元，一般财政拨款收入中计划生育事务费减少30万元。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before="300" w:beforeAutospacing="0" w:after="0" w:afterAutospacing="0" w:line="30" w:lineRule="atLeas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eastAsia="zh-CN"/>
        </w:rPr>
        <w:t>二、支出决算情况说明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0" w:afterAutospacing="0" w:line="360" w:lineRule="auto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 w:bidi="ar-SA"/>
        </w:rPr>
        <w:t xml:space="preserve">    大同市平城区东街社区卫生服务中心部门本年支出635.50万元，较去年增加0.2%，其中:基本支出326.87万元, 较去年减少9.25%；项目支出308.63万元，较去年增加12.61%。主要原因：人员工资福利支出与2019年相比减少20.22万元，其中基本工资、绩效工资等减少3.22万元；各种社保缴费减少17.81万元；其他工资福利增加0.81万元。项目支出与2019年相比增加34.56万元，其中：基本公共卫生服务费用增加49.27万元；突发公共卫生事件应急处理费用增加12.36万元；其他公卫专项增加3.56万元；计划生育事务费减少30.63万元；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0" w:afterAutospacing="0" w:line="36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eastAsia="zh-CN"/>
        </w:rPr>
        <w:t>三、一般公共预算财政拨款支出决算情况说明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>（一）财政拨款支出决算总体情况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2020年度一般公共预算财政拨款支出317.48万元，占本年总支出的49.96%。与2019年相比减少34.03万元。主要原因：项目支出与2019年相比减少金额较大，其中维修维护费、专用材料费、培训费减少金额较大。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（二）一般公共预算财政拨款支出决算结构情况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2020年度一般公共预算财政拨款支出317.48万元，主要用于以下方面：社会保障和就业支出3.85万元，占1.21%；卫生健康支出313.63万元，占98.79%；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社会保障和就业支出年初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无</w:t>
      </w:r>
      <w:r>
        <w:rPr>
          <w:rFonts w:hint="eastAsia" w:ascii="仿宋" w:hAnsi="仿宋" w:eastAsia="仿宋" w:cs="仿宋"/>
          <w:sz w:val="32"/>
          <w:szCs w:val="32"/>
        </w:rPr>
        <w:t>预算，支出3.85万元，主要用于退休人员丧葬抚恤金</w:t>
      </w:r>
    </w:p>
    <w:p>
      <w:pPr>
        <w:keepNext w:val="0"/>
        <w:keepLines w:val="0"/>
        <w:pageBreakBefore w:val="0"/>
        <w:widowControl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卫生健康支出年初预算335.75万元，支出313.63万元，完成预算93.41%，主要用于基本支出167.58万元，其中：基本工资72.11万元；津补贴4.95万元；奖金8.94万元；绩效工资50.96万元；养老保险缴费10.61万元；职业年金4.50万元；医保缴费14.51万元；其他社保缴费1万元。项目支出146.05万元，其中水、电、物业、维修等费用6.92万元；基本工资53.28万元；津贴工资13.69万元；绩效工资18.34万元；对个人和家庭补助7.49万元各种社保养老等缴费46.33万元.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eastAsia="zh-CN"/>
        </w:rPr>
        <w:t>四、政府采购情况说明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政府采购支出合计12.91万元，较上年减少3.71万元，用于采购单位所需货物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eastAsia="zh-CN"/>
        </w:rPr>
        <w:t>五、“三公”经费情况说明</w:t>
      </w:r>
    </w:p>
    <w:p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300" w:beforeAutospacing="0" w:after="0" w:afterAutospacing="0" w:line="36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eastAsia="zh-CN"/>
        </w:rPr>
        <w:t>无“三公”经费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before="300" w:beforeAutospacing="0" w:after="0" w:afterAutospacing="0" w:line="36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eastAsia="zh-CN"/>
        </w:rPr>
        <w:t>六、国有资产占用情况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截止2020年12月31日，单价50万元以上通用设备0台；单价100万元以上专用设备1台。</w:t>
      </w:r>
      <w:bookmarkStart w:id="0" w:name="_GoBack"/>
      <w:bookmarkEnd w:id="0"/>
    </w:p>
    <w:p>
      <w:pPr>
        <w:pStyle w:val="5"/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0" w:afterAutospacing="0" w:line="240" w:lineRule="auto"/>
        <w:ind w:leftChars="0"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eastAsia="zh-CN"/>
        </w:rPr>
        <w:t>七、重点绩效评价情况</w:t>
      </w:r>
    </w:p>
    <w:p>
      <w:pPr>
        <w:pStyle w:val="5"/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Autospacing="0" w:after="0" w:afterAutospacing="0" w:line="360" w:lineRule="auto"/>
        <w:ind w:lef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val="en-US" w:eastAsia="zh-CN" w:bidi="ar-SA"/>
        </w:rPr>
        <w:t>020年财政预算拨款1400000元，用于职工基本工资490000元，绩效工资200000元，津补贴12400元，住房公积金100000元，其他社会保障缴费97600元，其他商品和服务支出500000元。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jc w:val="left"/>
        <w:textAlignment w:val="auto"/>
        <w:rPr>
          <w:rFonts w:hint="eastAsia" w:ascii="黑体" w:hAnsi="黑体" w:eastAsia="黑体" w:cs="黑体"/>
          <w:color w:val="00000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shd w:val="clear" w:color="auto" w:fill="FFFFFF"/>
          <w:lang w:val="en-US" w:eastAsia="zh-CN" w:bidi="ar-SA"/>
        </w:rPr>
        <w:t>第四部分：专业性名词解释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 w:bidi="ar-SA"/>
        </w:rPr>
        <w:t>(一)基本支出:指为保障机构正常运转、完成日常工作任务而发生的人员支出和公用支出。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 w:bidi="ar-SA"/>
        </w:rPr>
        <w:t>(二)项目支出:指在基本支出之外为完成审计项目和事业发展目标所发生的支出。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宋体"/>
          <w:color w:val="000000"/>
          <w:sz w:val="28"/>
          <w:szCs w:val="28"/>
          <w:shd w:val="clear" w:color="auto" w:fill="FFFFFF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" w:hAnsi="仿宋" w:eastAsia="仿宋"/>
          <w:sz w:val="28"/>
          <w:szCs w:val="28"/>
        </w:rPr>
        <w:t>附件：</w:t>
      </w:r>
      <w:r>
        <w:rPr>
          <w:rFonts w:hint="eastAsia" w:ascii="仿宋" w:hAnsi="仿宋" w:eastAsia="仿宋"/>
          <w:sz w:val="28"/>
          <w:szCs w:val="28"/>
        </w:rPr>
        <w:drawing>
          <wp:inline distT="0" distB="0" distL="114300" distR="114300">
            <wp:extent cx="152400" cy="152400"/>
            <wp:effectExtent l="0" t="0" r="0" b="0"/>
            <wp:docPr id="1" name="图片 1" descr="IMG_256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true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/>
          <w:sz w:val="28"/>
          <w:szCs w:val="28"/>
        </w:rPr>
        <w:fldChar w:fldCharType="begin"/>
      </w:r>
      <w:r>
        <w:rPr>
          <w:rFonts w:hint="eastAsia" w:ascii="仿宋" w:hAnsi="仿宋" w:eastAsia="仿宋"/>
          <w:sz w:val="28"/>
          <w:szCs w:val="28"/>
        </w:rPr>
        <w:instrText xml:space="preserve"> HYPERLINK "http://www.dt.gov.cn/dtzww/czyjs20/201807/9d8a702e71374917b79f3ac6b57a867e/files/1eefa6729e14481bb32785e5c7ff1316.xls" </w:instrText>
      </w:r>
      <w:r>
        <w:rPr>
          <w:rFonts w:hint="eastAsia" w:ascii="仿宋" w:hAnsi="仿宋" w:eastAsia="仿宋"/>
          <w:sz w:val="28"/>
          <w:szCs w:val="28"/>
        </w:rPr>
        <w:fldChar w:fldCharType="separate"/>
      </w:r>
      <w:r>
        <w:rPr>
          <w:rFonts w:hint="eastAsia" w:ascii="仿宋" w:hAnsi="仿宋" w:eastAsia="仿宋"/>
          <w:sz w:val="28"/>
          <w:szCs w:val="28"/>
        </w:rPr>
        <w:t>2020年</w:t>
      </w:r>
      <w:r>
        <w:rPr>
          <w:rFonts w:hint="eastAsia" w:ascii="仿宋" w:hAnsi="仿宋" w:eastAsia="仿宋"/>
          <w:sz w:val="28"/>
          <w:szCs w:val="28"/>
          <w:lang w:eastAsia="zh-CN"/>
        </w:rPr>
        <w:t>大同市平城区东街卫生服务中心</w:t>
      </w:r>
      <w:r>
        <w:rPr>
          <w:rFonts w:hint="eastAsia" w:ascii="仿宋" w:hAnsi="仿宋" w:eastAsia="仿宋"/>
          <w:sz w:val="28"/>
          <w:szCs w:val="28"/>
        </w:rPr>
        <w:t>决算表.xls</w:t>
      </w:r>
      <w:r>
        <w:rPr>
          <w:rFonts w:hint="eastAsia" w:ascii="仿宋" w:hAnsi="仿宋" w:eastAsia="仿宋"/>
          <w:sz w:val="28"/>
          <w:szCs w:val="28"/>
        </w:rPr>
        <w:fldChar w:fldCharType="end"/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textAlignment w:val="auto"/>
        <w:rPr>
          <w:rFonts w:hint="eastAsia" w:ascii="仿宋" w:hAnsi="仿宋" w:eastAsia="仿宋" w:cs="宋体"/>
          <w:color w:val="000000"/>
          <w:sz w:val="28"/>
          <w:szCs w:val="28"/>
          <w:shd w:val="clear" w:color="auto" w:fill="FFFFFF"/>
          <w:lang w:val="en-US" w:eastAsia="zh-CN" w:bidi="ar-SA"/>
        </w:rPr>
      </w:pPr>
    </w:p>
    <w:p>
      <w:pPr>
        <w:pStyle w:val="5"/>
        <w:widowControl/>
        <w:spacing w:before="300" w:beforeAutospacing="0" w:after="0" w:afterAutospacing="0" w:line="30" w:lineRule="atLeast"/>
        <w:ind w:firstLine="560" w:firstLineChars="200"/>
        <w:jc w:val="both"/>
        <w:rPr>
          <w:rFonts w:ascii="仿宋" w:hAnsi="仿宋" w:eastAsia="华文中宋" w:cs="宋体"/>
          <w:color w:val="000000"/>
          <w:sz w:val="28"/>
          <w:szCs w:val="28"/>
        </w:rPr>
      </w:pPr>
    </w:p>
    <w:p>
      <w:pPr>
        <w:pStyle w:val="5"/>
        <w:widowControl/>
        <w:spacing w:before="300" w:beforeAutospacing="0" w:after="0" w:afterAutospacing="0" w:line="30" w:lineRule="atLeast"/>
        <w:ind w:left="1160"/>
        <w:jc w:val="both"/>
        <w:rPr>
          <w:rFonts w:ascii="仿宋" w:hAnsi="仿宋" w:eastAsia="华文中宋" w:cs="宋体"/>
          <w:color w:val="000000"/>
          <w:sz w:val="28"/>
          <w:szCs w:val="28"/>
          <w:shd w:val="clear" w:color="auto" w:fill="FFFFFF"/>
        </w:rPr>
      </w:pPr>
    </w:p>
    <w:p>
      <w:pPr>
        <w:pStyle w:val="5"/>
        <w:widowControl/>
        <w:spacing w:before="300" w:beforeAutospacing="0" w:after="0" w:afterAutospacing="0" w:line="30" w:lineRule="atLeast"/>
        <w:ind w:left="440" w:leftChars="200"/>
        <w:jc w:val="both"/>
        <w:rPr>
          <w:rFonts w:ascii="仿宋" w:hAnsi="仿宋" w:eastAsia="华文中宋" w:cs="宋体"/>
          <w:color w:val="000000"/>
          <w:sz w:val="28"/>
          <w:szCs w:val="28"/>
          <w:shd w:val="clear" w:color="auto" w:fill="FFFFFF"/>
        </w:rPr>
      </w:pPr>
    </w:p>
    <w:p>
      <w:pPr>
        <w:spacing w:line="220" w:lineRule="atLeast"/>
        <w:rPr>
          <w:rFonts w:eastAsia="华文中宋"/>
        </w:rPr>
      </w:pPr>
    </w:p>
    <w:p>
      <w:pPr>
        <w:pStyle w:val="8"/>
        <w:spacing w:line="220" w:lineRule="atLeast"/>
        <w:ind w:left="720" w:firstLine="0" w:firstLineChars="0"/>
        <w:rPr>
          <w:rFonts w:eastAsia="华文中宋"/>
        </w:rPr>
      </w:pPr>
    </w:p>
    <w:p>
      <w:pPr>
        <w:pStyle w:val="8"/>
        <w:spacing w:line="220" w:lineRule="atLeast"/>
        <w:ind w:left="720" w:firstLine="0" w:firstLineChars="0"/>
        <w:rPr>
          <w:rFonts w:eastAsia="华文中宋"/>
          <w:sz w:val="28"/>
          <w:szCs w:val="28"/>
        </w:rPr>
      </w:pP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ahoma">
    <w:altName w:val="Droid Sans"/>
    <w:panose1 w:val="020B0604030504040204"/>
    <w:charset w:val="00"/>
    <w:family w:val="swiss"/>
    <w:pitch w:val="default"/>
    <w:sig w:usb0="00000000" w:usb1="00000000" w:usb2="00000008" w:usb3="00000000" w:csb0="200101FF" w:csb1="20280000"/>
  </w:font>
  <w:font w:name="微软雅黑">
    <w:altName w:val="黑体"/>
    <w:panose1 w:val="020B0503020204020204"/>
    <w:charset w:val="86"/>
    <w:family w:val="swiss"/>
    <w:pitch w:val="default"/>
    <w:sig w:usb0="00000000" w:usb1="00000000" w:usb2="00000010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roid Sans">
    <w:panose1 w:val="020B0606030804020204"/>
    <w:charset w:val="00"/>
    <w:family w:val="auto"/>
    <w:pitch w:val="default"/>
    <w:sig w:usb0="E00002EF" w:usb1="4000205B" w:usb2="00000028" w:usb3="00000000" w:csb0="2000019F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mbria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66A6892"/>
    <w:multiLevelType w:val="singleLevel"/>
    <w:tmpl w:val="E66A689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DF48756"/>
    <w:multiLevelType w:val="singleLevel"/>
    <w:tmpl w:val="EDF48756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EFBF1422"/>
    <w:multiLevelType w:val="singleLevel"/>
    <w:tmpl w:val="EFBF142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F78FD9DD"/>
    <w:multiLevelType w:val="singleLevel"/>
    <w:tmpl w:val="F78FD9D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17DE4B67"/>
    <w:multiLevelType w:val="singleLevel"/>
    <w:tmpl w:val="17DE4B6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7BEFDDF8"/>
    <w:multiLevelType w:val="singleLevel"/>
    <w:tmpl w:val="7BEFDDF8"/>
    <w:lvl w:ilvl="0" w:tentative="0">
      <w:start w:val="4"/>
      <w:numFmt w:val="chineseCounting"/>
      <w:suff w:val="nothing"/>
      <w:lvlText w:val="第%1部分　"/>
      <w:lvlJc w:val="left"/>
      <w:rPr>
        <w:rFonts w:hint="eastAsia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rsids>
    <w:rsidRoot w:val="00D31D50"/>
    <w:rsid w:val="00146D70"/>
    <w:rsid w:val="002F1876"/>
    <w:rsid w:val="00323B43"/>
    <w:rsid w:val="00342984"/>
    <w:rsid w:val="00357CA5"/>
    <w:rsid w:val="003D37D8"/>
    <w:rsid w:val="00414BCD"/>
    <w:rsid w:val="00426133"/>
    <w:rsid w:val="004358AB"/>
    <w:rsid w:val="004F2BFC"/>
    <w:rsid w:val="006717E3"/>
    <w:rsid w:val="006B2178"/>
    <w:rsid w:val="00893474"/>
    <w:rsid w:val="008B7726"/>
    <w:rsid w:val="008C16BF"/>
    <w:rsid w:val="008F5708"/>
    <w:rsid w:val="009136F8"/>
    <w:rsid w:val="009A1650"/>
    <w:rsid w:val="00B5287F"/>
    <w:rsid w:val="00BC5D20"/>
    <w:rsid w:val="00BE1703"/>
    <w:rsid w:val="00C27730"/>
    <w:rsid w:val="00C65AEA"/>
    <w:rsid w:val="00CE4F43"/>
    <w:rsid w:val="00D31D50"/>
    <w:rsid w:val="00D809E0"/>
    <w:rsid w:val="00DA19DE"/>
    <w:rsid w:val="00E51D76"/>
    <w:rsid w:val="00ED5895"/>
    <w:rsid w:val="00F34433"/>
    <w:rsid w:val="00F5020B"/>
    <w:rsid w:val="00FE31FC"/>
    <w:rsid w:val="659D4373"/>
    <w:rsid w:val="C97D19E2"/>
    <w:rsid w:val="DFFDDF39"/>
    <w:rsid w:val="FEEE8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 w:val="0"/>
      <w:adjustRightInd/>
      <w:snapToGrid/>
      <w:spacing w:before="100" w:beforeAutospacing="1" w:after="100" w:afterAutospacing="1"/>
    </w:pPr>
    <w:rPr>
      <w:rFonts w:ascii="Calibri" w:hAnsi="Calibri" w:eastAsia="宋体" w:cs="Times New Roman"/>
      <w:sz w:val="24"/>
      <w:szCs w:val="24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7"/>
    <w:link w:val="4"/>
    <w:semiHidden/>
    <w:qFormat/>
    <w:uiPriority w:val="99"/>
    <w:rPr>
      <w:rFonts w:ascii="Tahoma" w:hAnsi="Tahoma"/>
      <w:sz w:val="18"/>
      <w:szCs w:val="18"/>
    </w:rPr>
  </w:style>
  <w:style w:type="character" w:customStyle="1" w:styleId="10">
    <w:name w:val="页脚 Char"/>
    <w:basedOn w:val="7"/>
    <w:link w:val="3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161</Words>
  <Characters>922</Characters>
  <Lines>7</Lines>
  <Paragraphs>2</Paragraphs>
  <TotalTime>15</TotalTime>
  <ScaleCrop>false</ScaleCrop>
  <LinksUpToDate>false</LinksUpToDate>
  <CharactersWithSpaces>1081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2008-09-12T17:20:00Z</dcterms:created>
  <dc:creator>dt</dc:creator>
  <cp:lastModifiedBy>dt</cp:lastModifiedBy>
  <dcterms:modified xsi:type="dcterms:W3CDTF">2021-08-17T16:12:29Z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</Properties>
</file>