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20" w:lineRule="exact"/>
        <w:jc w:val="left"/>
        <w:rPr>
          <w:rFonts w:ascii="黑体" w:hAnsi="黑体" w:eastAsia="黑体" w:cs="黑体"/>
          <w:b/>
          <w:bCs/>
          <w:kern w:val="0"/>
          <w:sz w:val="32"/>
          <w:szCs w:val="32"/>
        </w:rPr>
      </w:pPr>
    </w:p>
    <w:tbl>
      <w:tblPr>
        <w:tblStyle w:val="5"/>
        <w:tblpPr w:leftFromText="180" w:rightFromText="180" w:vertAnchor="text" w:tblpXSpec="center" w:tblpY="1"/>
        <w:tblOverlap w:val="never"/>
        <w:tblW w:w="9464" w:type="dxa"/>
        <w:tblInd w:w="0" w:type="dxa"/>
        <w:tblLayout w:type="fixed"/>
        <w:tblCellMar>
          <w:top w:w="0" w:type="dxa"/>
          <w:left w:w="108" w:type="dxa"/>
          <w:bottom w:w="0" w:type="dxa"/>
          <w:right w:w="108" w:type="dxa"/>
        </w:tblCellMar>
      </w:tblPr>
      <w:tblGrid>
        <w:gridCol w:w="587"/>
        <w:gridCol w:w="1045"/>
        <w:gridCol w:w="29"/>
        <w:gridCol w:w="991"/>
        <w:gridCol w:w="858"/>
        <w:gridCol w:w="1134"/>
        <w:gridCol w:w="416"/>
        <w:gridCol w:w="851"/>
        <w:gridCol w:w="850"/>
        <w:gridCol w:w="288"/>
        <w:gridCol w:w="289"/>
        <w:gridCol w:w="425"/>
        <w:gridCol w:w="283"/>
        <w:gridCol w:w="567"/>
        <w:gridCol w:w="851"/>
      </w:tblGrid>
      <w:tr>
        <w:tblPrEx>
          <w:tblCellMar>
            <w:top w:w="0" w:type="dxa"/>
            <w:left w:w="108" w:type="dxa"/>
            <w:bottom w:w="0" w:type="dxa"/>
            <w:right w:w="108" w:type="dxa"/>
          </w:tblCellMar>
        </w:tblPrEx>
        <w:trPr>
          <w:trHeight w:val="680" w:hRule="exact"/>
        </w:trPr>
        <w:tc>
          <w:tcPr>
            <w:tcW w:w="9464" w:type="dxa"/>
            <w:gridSpan w:val="15"/>
            <w:tcBorders>
              <w:top w:val="nil"/>
              <w:left w:val="nil"/>
              <w:bottom w:val="nil"/>
              <w:right w:val="nil"/>
            </w:tcBorders>
            <w:vAlign w:val="center"/>
          </w:tcPr>
          <w:p>
            <w:pPr>
              <w:widowControl/>
              <w:spacing w:line="320" w:lineRule="exact"/>
              <w:jc w:val="center"/>
              <w:rPr>
                <w:rFonts w:ascii="黑体" w:hAnsi="黑体" w:eastAsia="黑体" w:cs="宋体"/>
                <w:b/>
                <w:bCs/>
                <w:kern w:val="0"/>
                <w:sz w:val="32"/>
                <w:szCs w:val="32"/>
              </w:rPr>
            </w:pPr>
            <w:r>
              <w:rPr>
                <w:rFonts w:hint="eastAsia" w:ascii="黑体" w:hAnsi="黑体" w:eastAsia="黑体" w:cs="华文中宋"/>
                <w:b/>
                <w:bCs/>
                <w:kern w:val="0"/>
                <w:sz w:val="32"/>
                <w:szCs w:val="32"/>
              </w:rPr>
              <w:t>项目支出绩效自评表</w:t>
            </w:r>
          </w:p>
        </w:tc>
      </w:tr>
      <w:tr>
        <w:tblPrEx>
          <w:tblCellMar>
            <w:top w:w="0" w:type="dxa"/>
            <w:left w:w="108" w:type="dxa"/>
            <w:bottom w:w="0" w:type="dxa"/>
            <w:right w:w="108" w:type="dxa"/>
          </w:tblCellMar>
        </w:tblPrEx>
        <w:trPr>
          <w:trHeight w:val="201" w:hRule="atLeast"/>
        </w:trPr>
        <w:tc>
          <w:tcPr>
            <w:tcW w:w="9464" w:type="dxa"/>
            <w:gridSpan w:val="15"/>
            <w:tcBorders>
              <w:top w:val="nil"/>
              <w:left w:val="nil"/>
              <w:bottom w:val="nil"/>
              <w:right w:val="nil"/>
            </w:tcBorders>
          </w:tcPr>
          <w:p>
            <w:pPr>
              <w:widowControl/>
              <w:spacing w:line="240" w:lineRule="exact"/>
              <w:jc w:val="left"/>
              <w:rPr>
                <w:rFonts w:ascii="宋体" w:hAnsi="宋体" w:eastAsia="宋体" w:cs="宋体"/>
                <w:kern w:val="0"/>
                <w:sz w:val="22"/>
                <w:szCs w:val="22"/>
              </w:rPr>
            </w:pPr>
            <w:r>
              <w:rPr>
                <w:rFonts w:hint="eastAsia" w:ascii="宋体" w:hAnsi="宋体" w:eastAsia="宋体" w:cs="宋体"/>
                <w:kern w:val="0"/>
                <w:sz w:val="22"/>
                <w:szCs w:val="22"/>
              </w:rPr>
              <w:t>填列单位：</w:t>
            </w:r>
            <w:r>
              <w:rPr>
                <w:rFonts w:hint="eastAsia" w:ascii="宋体" w:hAnsi="宋体" w:eastAsia="宋体" w:cs="宋体"/>
                <w:kern w:val="0"/>
                <w:sz w:val="18"/>
                <w:szCs w:val="18"/>
              </w:rPr>
              <w:t>大同市转型汇智创新城人才服务中心</w:t>
            </w:r>
            <w:r>
              <w:rPr>
                <w:rFonts w:hint="eastAsia" w:ascii="宋体" w:hAnsi="宋体" w:eastAsia="宋体" w:cs="宋体"/>
                <w:kern w:val="0"/>
                <w:sz w:val="22"/>
                <w:szCs w:val="22"/>
              </w:rPr>
              <w:t>（2021年度）</w:t>
            </w:r>
          </w:p>
        </w:tc>
      </w:tr>
      <w:tr>
        <w:tblPrEx>
          <w:tblCellMar>
            <w:top w:w="0" w:type="dxa"/>
            <w:left w:w="108" w:type="dxa"/>
            <w:bottom w:w="0" w:type="dxa"/>
            <w:right w:w="108" w:type="dxa"/>
          </w:tblCellMar>
        </w:tblPrEx>
        <w:trPr>
          <w:trHeight w:val="320" w:hRule="exact"/>
        </w:trPr>
        <w:tc>
          <w:tcPr>
            <w:tcW w:w="16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项目名称</w:t>
            </w:r>
          </w:p>
        </w:tc>
        <w:tc>
          <w:tcPr>
            <w:tcW w:w="7803" w:type="dxa"/>
            <w:gridSpan w:val="1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S开办费及大学毕业生8-12月</w:t>
            </w:r>
            <w:r>
              <w:rPr>
                <w:rFonts w:ascii="宋体" w:hAnsi="宋体" w:eastAsia="宋体" w:cs="宋体"/>
                <w:kern w:val="0"/>
                <w:sz w:val="18"/>
                <w:szCs w:val="18"/>
              </w:rPr>
              <w:t>就业补贴</w:t>
            </w:r>
          </w:p>
        </w:tc>
      </w:tr>
      <w:tr>
        <w:tblPrEx>
          <w:tblCellMar>
            <w:top w:w="0" w:type="dxa"/>
            <w:left w:w="108" w:type="dxa"/>
            <w:bottom w:w="0" w:type="dxa"/>
            <w:right w:w="108" w:type="dxa"/>
          </w:tblCellMar>
        </w:tblPrEx>
        <w:trPr>
          <w:trHeight w:val="602" w:hRule="exact"/>
        </w:trPr>
        <w:tc>
          <w:tcPr>
            <w:tcW w:w="1661"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主管部门</w:t>
            </w:r>
          </w:p>
        </w:tc>
        <w:tc>
          <w:tcPr>
            <w:tcW w:w="4250"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大同市人力资源和社会保障局</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实施单位</w:t>
            </w:r>
          </w:p>
        </w:tc>
        <w:tc>
          <w:tcPr>
            <w:tcW w:w="2415" w:type="dxa"/>
            <w:gridSpan w:val="5"/>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大同市转型汇智创新城</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人才服务中心</w:t>
            </w:r>
          </w:p>
        </w:tc>
      </w:tr>
      <w:tr>
        <w:tblPrEx>
          <w:tblCellMar>
            <w:top w:w="0" w:type="dxa"/>
            <w:left w:w="108" w:type="dxa"/>
            <w:bottom w:w="0" w:type="dxa"/>
            <w:right w:w="108" w:type="dxa"/>
          </w:tblCellMar>
        </w:tblPrEx>
        <w:trPr>
          <w:trHeight w:val="300" w:hRule="exact"/>
        </w:trPr>
        <w:tc>
          <w:tcPr>
            <w:tcW w:w="1661" w:type="dxa"/>
            <w:gridSpan w:val="3"/>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项目资金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（万元）</w:t>
            </w: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年初预算数</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全年预算数</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全年执行数</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执行率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年度资金总额</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228.88</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55.97%</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8</w:t>
            </w:r>
          </w:p>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其中：当年财政拨款</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408.94</w:t>
            </w: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228.88</w:t>
            </w: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上年结转资金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1661" w:type="dxa"/>
            <w:gridSpan w:val="3"/>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849"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 xml:space="preserve">  其他资金</w:t>
            </w:r>
          </w:p>
        </w:tc>
        <w:tc>
          <w:tcPr>
            <w:tcW w:w="1134"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26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13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1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c>
          <w:tcPr>
            <w:tcW w:w="850"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w:t>
            </w:r>
          </w:p>
        </w:tc>
      </w:tr>
      <w:tr>
        <w:tblPrEx>
          <w:tblCellMar>
            <w:top w:w="0" w:type="dxa"/>
            <w:left w:w="108" w:type="dxa"/>
            <w:bottom w:w="0" w:type="dxa"/>
            <w:right w:w="108" w:type="dxa"/>
          </w:tblCellMar>
        </w:tblPrEx>
        <w:trPr>
          <w:trHeight w:val="300" w:hRule="exact"/>
        </w:trPr>
        <w:tc>
          <w:tcPr>
            <w:tcW w:w="587"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年度总体目标</w:t>
            </w:r>
          </w:p>
        </w:tc>
        <w:tc>
          <w:tcPr>
            <w:tcW w:w="532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预期目标</w:t>
            </w:r>
          </w:p>
        </w:tc>
        <w:tc>
          <w:tcPr>
            <w:tcW w:w="3553"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实际完成情况</w:t>
            </w:r>
          </w:p>
        </w:tc>
      </w:tr>
      <w:tr>
        <w:tblPrEx>
          <w:tblCellMar>
            <w:top w:w="0" w:type="dxa"/>
            <w:left w:w="108" w:type="dxa"/>
            <w:bottom w:w="0" w:type="dxa"/>
            <w:right w:w="108" w:type="dxa"/>
          </w:tblCellMar>
        </w:tblPrEx>
        <w:trPr>
          <w:trHeight w:val="597" w:hRule="exact"/>
        </w:trPr>
        <w:tc>
          <w:tcPr>
            <w:tcW w:w="58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324" w:type="dxa"/>
            <w:gridSpan w:val="7"/>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保证人才服务工作正常顺利开展，</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鼓励和支持大学毕业生来同回同就业创业</w:t>
            </w:r>
          </w:p>
        </w:tc>
        <w:tc>
          <w:tcPr>
            <w:tcW w:w="3553" w:type="dxa"/>
            <w:gridSpan w:val="7"/>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基本完成，达到预期目标</w:t>
            </w:r>
          </w:p>
        </w:tc>
      </w:tr>
      <w:tr>
        <w:tblPrEx>
          <w:tblCellMar>
            <w:top w:w="0" w:type="dxa"/>
            <w:left w:w="108" w:type="dxa"/>
            <w:bottom w:w="0" w:type="dxa"/>
            <w:right w:w="108" w:type="dxa"/>
          </w:tblCellMar>
        </w:tblPrEx>
        <w:trPr>
          <w:trHeight w:val="533" w:hRule="exact"/>
        </w:trPr>
        <w:tc>
          <w:tcPr>
            <w:tcW w:w="587" w:type="dxa"/>
            <w:vMerge w:val="restart"/>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绩</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标</w:t>
            </w:r>
          </w:p>
        </w:tc>
        <w:tc>
          <w:tcPr>
            <w:tcW w:w="1074"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一级指标</w:t>
            </w:r>
          </w:p>
        </w:tc>
        <w:tc>
          <w:tcPr>
            <w:tcW w:w="99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二级指标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三级指标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年度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指标值</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实际</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完成值</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分值</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得分</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偏差原因分析及改进措施</w:t>
            </w:r>
          </w:p>
        </w:tc>
      </w:tr>
      <w:tr>
        <w:tblPrEx>
          <w:tblCellMar>
            <w:top w:w="0" w:type="dxa"/>
            <w:left w:w="108" w:type="dxa"/>
            <w:bottom w:w="0" w:type="dxa"/>
            <w:right w:w="108" w:type="dxa"/>
          </w:tblCellMar>
        </w:tblPrEx>
        <w:trPr>
          <w:trHeight w:val="589"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产出指标</w:t>
            </w: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数量指标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购置办公家具（套）</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7</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left"/>
              <w:rPr>
                <w:rFonts w:ascii="宋体" w:hAnsi="宋体" w:eastAsia="宋体" w:cs="宋体"/>
                <w:kern w:val="0"/>
                <w:sz w:val="17"/>
                <w:szCs w:val="17"/>
              </w:rPr>
            </w:pPr>
          </w:p>
        </w:tc>
      </w:tr>
      <w:tr>
        <w:tblPrEx>
          <w:tblCellMar>
            <w:top w:w="0" w:type="dxa"/>
            <w:left w:w="108" w:type="dxa"/>
            <w:bottom w:w="0" w:type="dxa"/>
            <w:right w:w="108" w:type="dxa"/>
          </w:tblCellMar>
        </w:tblPrEx>
        <w:trPr>
          <w:trHeight w:val="711"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购置办公设备（台）</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20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w:t>
            </w:r>
          </w:p>
        </w:tc>
        <w:tc>
          <w:tcPr>
            <w:tcW w:w="577"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683"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发放就业专项补贴金（万元）</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371.94</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199.04</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9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质量指标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办公设备符合率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≥90%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39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就业补贴应补尽补率</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100%</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2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时效指标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办公设备到位及时性</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6月3</w:t>
            </w:r>
            <w:r>
              <w:rPr>
                <w:rFonts w:hint="eastAsia" w:ascii="宋体" w:hAnsi="宋体" w:eastAsia="宋体" w:cs="宋体"/>
                <w:kern w:val="0"/>
                <w:sz w:val="18"/>
                <w:szCs w:val="18"/>
                <w:lang w:val="en-US" w:eastAsia="zh-CN"/>
              </w:rPr>
              <w:t>0</w:t>
            </w:r>
            <w:r>
              <w:rPr>
                <w:rFonts w:hint="eastAsia" w:ascii="宋体" w:hAnsi="宋体" w:eastAsia="宋体" w:cs="宋体"/>
                <w:kern w:val="0"/>
                <w:sz w:val="18"/>
                <w:szCs w:val="18"/>
              </w:rPr>
              <w:t>日前</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6月3</w:t>
            </w:r>
            <w:r>
              <w:rPr>
                <w:rFonts w:hint="eastAsia" w:ascii="宋体" w:hAnsi="宋体" w:eastAsia="宋体" w:cs="宋体"/>
                <w:kern w:val="0"/>
                <w:sz w:val="18"/>
                <w:szCs w:val="18"/>
                <w:lang w:val="en-US" w:eastAsia="zh-CN"/>
              </w:rPr>
              <w:t>0</w:t>
            </w:r>
            <w:bookmarkStart w:id="0" w:name="_GoBack"/>
            <w:bookmarkEnd w:id="0"/>
            <w:r>
              <w:rPr>
                <w:rFonts w:hint="eastAsia" w:ascii="宋体" w:hAnsi="宋体" w:eastAsia="宋体" w:cs="宋体"/>
                <w:kern w:val="0"/>
                <w:sz w:val="18"/>
                <w:szCs w:val="18"/>
              </w:rPr>
              <w:t>日前</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27"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就业专项补贴金发放及时性</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12月20日前</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12月20日前</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61"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成本指标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办公家具、办公设备</w:t>
            </w:r>
          </w:p>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购置成本（万元）</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≤16</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15.65</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效益指标</w:t>
            </w: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经济效益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54"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社会效益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保障人才服务工作顺利开展</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保障</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保障</w:t>
            </w:r>
          </w:p>
        </w:tc>
        <w:tc>
          <w:tcPr>
            <w:tcW w:w="577"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708" w:type="dxa"/>
            <w:gridSpan w:val="2"/>
            <w:vMerge w:val="restart"/>
            <w:tcBorders>
              <w:top w:val="nil"/>
              <w:left w:val="nil"/>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30</w:t>
            </w:r>
          </w:p>
        </w:tc>
        <w:tc>
          <w:tcPr>
            <w:tcW w:w="1418" w:type="dxa"/>
            <w:gridSpan w:val="2"/>
            <w:vMerge w:val="restart"/>
            <w:tcBorders>
              <w:top w:val="single" w:color="auto" w:sz="4" w:space="0"/>
              <w:left w:val="nil"/>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454" w:hRule="atLeas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促进大学毕业生就业</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促进</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促进</w:t>
            </w:r>
          </w:p>
        </w:tc>
        <w:tc>
          <w:tcPr>
            <w:tcW w:w="577"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vMerge w:val="continue"/>
            <w:tcBorders>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生态效益</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restart"/>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可持续影响指标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283"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99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902" w:hRule="exact"/>
        </w:trPr>
        <w:tc>
          <w:tcPr>
            <w:tcW w:w="587" w:type="dxa"/>
            <w:vMerge w:val="continue"/>
            <w:tcBorders>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c>
          <w:tcPr>
            <w:tcW w:w="1074" w:type="dxa"/>
            <w:gridSpan w:val="2"/>
            <w:tcBorders>
              <w:top w:val="nil"/>
              <w:left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满意度</w:t>
            </w:r>
          </w:p>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指标</w:t>
            </w:r>
          </w:p>
        </w:tc>
        <w:tc>
          <w:tcPr>
            <w:tcW w:w="991" w:type="dxa"/>
            <w:tcBorders>
              <w:top w:val="nil"/>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服务对象满意度指标</w:t>
            </w:r>
          </w:p>
        </w:tc>
        <w:tc>
          <w:tcPr>
            <w:tcW w:w="2408" w:type="dxa"/>
            <w:gridSpan w:val="3"/>
            <w:tcBorders>
              <w:top w:val="single" w:color="auto" w:sz="4" w:space="0"/>
              <w:left w:val="nil"/>
              <w:bottom w:val="single" w:color="auto" w:sz="4" w:space="0"/>
              <w:right w:val="single" w:color="auto" w:sz="4" w:space="0"/>
            </w:tcBorders>
            <w:vAlign w:val="center"/>
          </w:tcPr>
          <w:p>
            <w:pPr>
              <w:widowControl/>
              <w:spacing w:line="240" w:lineRule="exact"/>
              <w:jc w:val="left"/>
              <w:rPr>
                <w:rFonts w:ascii="宋体" w:hAnsi="宋体" w:eastAsia="宋体" w:cs="宋体"/>
                <w:color w:val="000000"/>
                <w:kern w:val="0"/>
                <w:sz w:val="18"/>
                <w:szCs w:val="18"/>
              </w:rPr>
            </w:pPr>
            <w:r>
              <w:rPr>
                <w:rFonts w:ascii="宋体" w:hAnsi="宋体" w:eastAsia="宋体" w:cs="宋体"/>
                <w:color w:val="000000"/>
                <w:kern w:val="0"/>
                <w:sz w:val="18"/>
                <w:szCs w:val="18"/>
              </w:rPr>
              <w:t>大学毕业生满意度</w:t>
            </w:r>
          </w:p>
        </w:tc>
        <w:tc>
          <w:tcPr>
            <w:tcW w:w="851"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满意</w:t>
            </w:r>
          </w:p>
        </w:tc>
        <w:tc>
          <w:tcPr>
            <w:tcW w:w="850" w:type="dxa"/>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ascii="宋体" w:hAnsi="宋体" w:eastAsia="宋体" w:cs="宋体"/>
                <w:kern w:val="0"/>
                <w:sz w:val="18"/>
                <w:szCs w:val="18"/>
              </w:rPr>
              <w:t>满意</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r>
              <w:rPr>
                <w:rFonts w:hint="eastAsia" w:ascii="宋体" w:hAnsi="宋体" w:eastAsia="宋体" w:cs="宋体"/>
                <w:kern w:val="0"/>
                <w:sz w:val="18"/>
                <w:szCs w:val="18"/>
              </w:rPr>
              <w:t>10</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537" w:hRule="exact"/>
        </w:trPr>
        <w:tc>
          <w:tcPr>
            <w:tcW w:w="6761" w:type="dxa"/>
            <w:gridSpan w:val="9"/>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总分</w:t>
            </w:r>
          </w:p>
        </w:tc>
        <w:tc>
          <w:tcPr>
            <w:tcW w:w="577"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100</w:t>
            </w:r>
          </w:p>
        </w:tc>
        <w:tc>
          <w:tcPr>
            <w:tcW w:w="708" w:type="dxa"/>
            <w:gridSpan w:val="2"/>
            <w:tcBorders>
              <w:top w:val="nil"/>
              <w:left w:val="nil"/>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95</w:t>
            </w:r>
          </w:p>
        </w:tc>
        <w:tc>
          <w:tcPr>
            <w:tcW w:w="1418" w:type="dxa"/>
            <w:gridSpan w:val="2"/>
            <w:tcBorders>
              <w:top w:val="single" w:color="auto" w:sz="4" w:space="0"/>
              <w:left w:val="nil"/>
              <w:bottom w:val="single" w:color="auto" w:sz="4" w:space="0"/>
              <w:right w:val="single" w:color="auto" w:sz="4" w:space="0"/>
            </w:tcBorders>
            <w:vAlign w:val="center"/>
          </w:tcPr>
          <w:p>
            <w:pPr>
              <w:widowControl/>
              <w:spacing w:line="240" w:lineRule="exact"/>
              <w:jc w:val="center"/>
              <w:rPr>
                <w:rFonts w:ascii="宋体" w:hAnsi="宋体" w:eastAsia="宋体" w:cs="宋体"/>
                <w:kern w:val="0"/>
                <w:sz w:val="18"/>
                <w:szCs w:val="18"/>
              </w:rPr>
            </w:pPr>
          </w:p>
        </w:tc>
      </w:tr>
      <w:tr>
        <w:tblPrEx>
          <w:tblCellMar>
            <w:top w:w="0" w:type="dxa"/>
            <w:left w:w="108" w:type="dxa"/>
            <w:bottom w:w="0" w:type="dxa"/>
            <w:right w:w="108" w:type="dxa"/>
          </w:tblCellMar>
        </w:tblPrEx>
        <w:trPr>
          <w:trHeight w:val="1190" w:hRule="atLeast"/>
        </w:trPr>
        <w:tc>
          <w:tcPr>
            <w:tcW w:w="587"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项目绩效分析</w:t>
            </w:r>
          </w:p>
        </w:tc>
        <w:tc>
          <w:tcPr>
            <w:tcW w:w="1045" w:type="dxa"/>
            <w:vMerge w:val="restart"/>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自评结果分析</w:t>
            </w: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项目实施和预算执行情况及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按照预期进度，已完成大部分目标，年度预算为408.94万元，实际预算支出为228.88万元，预算执行率为55.97%。主要原因是入住大学生人员情况复杂，由于考研的大学毕业生多，不符合补贴发放政策要求；部分大学毕业生在入住期间实现就业，就业后不再享受就业专项补贴金；受疫情影响等。</w:t>
            </w:r>
          </w:p>
        </w:tc>
      </w:tr>
      <w:tr>
        <w:tblPrEx>
          <w:tblCellMar>
            <w:top w:w="0" w:type="dxa"/>
            <w:left w:w="108" w:type="dxa"/>
            <w:bottom w:w="0" w:type="dxa"/>
            <w:right w:w="108" w:type="dxa"/>
          </w:tblCellMar>
        </w:tblPrEx>
        <w:trPr>
          <w:trHeight w:val="1045"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共设立数量指标、质量指标、时效指标和成本指标共4项分指标，按单位需求和实际资金情况购置办公设备、办公家具，到位及时，符合率100%；对符合补贴申领条件的大学毕业生应发尽发就业专项补贴金，基本达到预期目标。</w:t>
            </w:r>
          </w:p>
        </w:tc>
      </w:tr>
      <w:tr>
        <w:tblPrEx>
          <w:tblCellMar>
            <w:top w:w="0" w:type="dxa"/>
            <w:left w:w="108" w:type="dxa"/>
            <w:bottom w:w="0" w:type="dxa"/>
            <w:right w:w="108" w:type="dxa"/>
          </w:tblCellMar>
        </w:tblPrEx>
        <w:trPr>
          <w:trHeight w:val="1100"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保证人才服务工作正常顺利开展，鼓励和支持大学毕业生来同回同就业创业，资金使用效益得到全面发挥。</w:t>
            </w:r>
          </w:p>
        </w:tc>
      </w:tr>
      <w:tr>
        <w:tblPrEx>
          <w:tblCellMar>
            <w:top w:w="0" w:type="dxa"/>
            <w:left w:w="108" w:type="dxa"/>
            <w:bottom w:w="0" w:type="dxa"/>
            <w:right w:w="108" w:type="dxa"/>
          </w:tblCellMar>
        </w:tblPrEx>
        <w:trPr>
          <w:trHeight w:val="890" w:hRule="atLeas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1020" w:type="dxa"/>
            <w:gridSpan w:val="2"/>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满意度情况及分析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color w:val="000000"/>
                <w:kern w:val="0"/>
                <w:sz w:val="18"/>
                <w:szCs w:val="18"/>
              </w:rPr>
            </w:pPr>
            <w:r>
              <w:rPr>
                <w:rFonts w:hint="eastAsia" w:ascii="宋体" w:hAnsi="宋体" w:eastAsia="宋体" w:cs="宋体"/>
                <w:color w:val="000000"/>
                <w:kern w:val="0"/>
                <w:sz w:val="18"/>
                <w:szCs w:val="18"/>
              </w:rPr>
              <w:t>满意度指标共设立1项指标，为大学毕业生满意度，设定值为满意，实际执行值为满意，转型汇智创新城人才服务中心的工作得到入住大学毕业生等的高度认可。</w:t>
            </w:r>
          </w:p>
        </w:tc>
      </w:tr>
      <w:tr>
        <w:tblPrEx>
          <w:tblCellMar>
            <w:top w:w="0" w:type="dxa"/>
            <w:left w:w="108" w:type="dxa"/>
            <w:bottom w:w="0" w:type="dxa"/>
            <w:right w:w="108" w:type="dxa"/>
          </w:tblCellMar>
        </w:tblPrEx>
        <w:trPr>
          <w:trHeight w:val="224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主要经验做法</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一是前期加强预算申报管理，切实强化指标设置；二是加强项目中期绩效监控，确保资金花到刀刃上，同时对项目运行产生偏离预期的，及时采取有效手段予以纠正；三是全面准确完成项目绩效自评工作，强化自评结果运用，为下一年度预算绩效管理提供新的思路。</w:t>
            </w:r>
          </w:p>
        </w:tc>
      </w:tr>
      <w:tr>
        <w:tblPrEx>
          <w:tblCellMar>
            <w:top w:w="0" w:type="dxa"/>
            <w:left w:w="108" w:type="dxa"/>
            <w:bottom w:w="0" w:type="dxa"/>
            <w:right w:w="108" w:type="dxa"/>
          </w:tblCellMar>
        </w:tblPrEx>
        <w:trPr>
          <w:trHeight w:val="490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项目管理中存在的</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主要问题及原因分析</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问题：就业专项补贴金发放完成程度略低</w:t>
            </w:r>
          </w:p>
          <w:p>
            <w:pPr>
              <w:widowControl/>
              <w:spacing w:line="240" w:lineRule="exact"/>
              <w:rPr>
                <w:rFonts w:ascii="宋体" w:hAnsi="宋体" w:eastAsia="宋体" w:cs="宋体"/>
                <w:kern w:val="0"/>
                <w:sz w:val="18"/>
                <w:szCs w:val="18"/>
              </w:rPr>
            </w:pP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原因：</w:t>
            </w: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1.汇智城2020年入住大学毕业生人员情况复杂，很多大学毕业生入住期间参加升学考试等，不符合补贴发放条件。</w:t>
            </w:r>
          </w:p>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2.部分大学毕业生在入住期间实现就业，就业后不再享受就业专项补贴金，只发放未就业期间的就业专项补贴金。</w:t>
            </w:r>
          </w:p>
        </w:tc>
      </w:tr>
      <w:tr>
        <w:tblPrEx>
          <w:tblCellMar>
            <w:top w:w="0" w:type="dxa"/>
            <w:left w:w="108" w:type="dxa"/>
            <w:bottom w:w="0" w:type="dxa"/>
            <w:right w:w="108" w:type="dxa"/>
          </w:tblCellMar>
        </w:tblPrEx>
        <w:trPr>
          <w:trHeight w:val="2020" w:hRule="exact"/>
        </w:trPr>
        <w:tc>
          <w:tcPr>
            <w:tcW w:w="58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p>
        </w:tc>
        <w:tc>
          <w:tcPr>
            <w:tcW w:w="2065" w:type="dxa"/>
            <w:gridSpan w:val="3"/>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下一步改进措施及</w:t>
            </w:r>
          </w:p>
          <w:p>
            <w:pPr>
              <w:widowControl/>
              <w:spacing w:line="240" w:lineRule="exact"/>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管理建议</w:t>
            </w:r>
          </w:p>
        </w:tc>
        <w:tc>
          <w:tcPr>
            <w:tcW w:w="6812" w:type="dxa"/>
            <w:gridSpan w:val="11"/>
            <w:tcBorders>
              <w:top w:val="single" w:color="auto" w:sz="4" w:space="0"/>
              <w:left w:val="single" w:color="auto" w:sz="4" w:space="0"/>
              <w:bottom w:val="single" w:color="auto" w:sz="4" w:space="0"/>
              <w:right w:val="single" w:color="auto" w:sz="4" w:space="0"/>
            </w:tcBorders>
            <w:vAlign w:val="center"/>
          </w:tcPr>
          <w:p>
            <w:pPr>
              <w:widowControl/>
              <w:spacing w:line="240" w:lineRule="exact"/>
              <w:rPr>
                <w:rFonts w:ascii="宋体" w:hAnsi="宋体" w:eastAsia="宋体" w:cs="宋体"/>
                <w:kern w:val="0"/>
                <w:sz w:val="18"/>
                <w:szCs w:val="18"/>
              </w:rPr>
            </w:pPr>
            <w:r>
              <w:rPr>
                <w:rFonts w:hint="eastAsia" w:ascii="宋体" w:hAnsi="宋体" w:eastAsia="宋体" w:cs="宋体"/>
                <w:kern w:val="0"/>
                <w:sz w:val="18"/>
                <w:szCs w:val="18"/>
              </w:rPr>
              <w:t>下一步，我单位将全面提前谋划和统筹调度各相关科室资金使用需求，及时编制预算申请，确保项目与资金相配套、需求与申请相衔接，按时按要求、高质高效的完成工作任务。</w:t>
            </w:r>
          </w:p>
        </w:tc>
      </w:tr>
    </w:tbl>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3ZWNlOThjNThkOGViNGEzMzAxODRkNDQzYjE3ZmEifQ=="/>
  </w:docVars>
  <w:rsids>
    <w:rsidRoot w:val="003451DB"/>
    <w:rsid w:val="0001664A"/>
    <w:rsid w:val="00157CFC"/>
    <w:rsid w:val="002070A0"/>
    <w:rsid w:val="002D5798"/>
    <w:rsid w:val="003451DB"/>
    <w:rsid w:val="003C12EC"/>
    <w:rsid w:val="00476BD1"/>
    <w:rsid w:val="00521A16"/>
    <w:rsid w:val="0053756E"/>
    <w:rsid w:val="006D3801"/>
    <w:rsid w:val="006E29D9"/>
    <w:rsid w:val="00831FA5"/>
    <w:rsid w:val="0088630F"/>
    <w:rsid w:val="009051C9"/>
    <w:rsid w:val="009800C2"/>
    <w:rsid w:val="00B40EE1"/>
    <w:rsid w:val="00BA797E"/>
    <w:rsid w:val="00D24A18"/>
    <w:rsid w:val="00D40586"/>
    <w:rsid w:val="00DF10D9"/>
    <w:rsid w:val="00E809B9"/>
    <w:rsid w:val="00E84CD3"/>
    <w:rsid w:val="00EC4EA2"/>
    <w:rsid w:val="00F0684D"/>
    <w:rsid w:val="00F524FE"/>
    <w:rsid w:val="00F76B66"/>
    <w:rsid w:val="02D77E25"/>
    <w:rsid w:val="33004F45"/>
    <w:rsid w:val="344E766F"/>
    <w:rsid w:val="430751AF"/>
    <w:rsid w:val="58657C88"/>
    <w:rsid w:val="6F4C36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0"/>
    <w:rPr>
      <w:sz w:val="18"/>
      <w:szCs w:val="18"/>
    </w:r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imes New Roman" w:hAnsi="Times New Roman" w:eastAsia="仿宋_GB2312" w:cs="Times New Roman"/>
      <w:kern w:val="2"/>
      <w:sz w:val="18"/>
      <w:szCs w:val="18"/>
    </w:rPr>
  </w:style>
  <w:style w:type="character" w:customStyle="1" w:styleId="8">
    <w:name w:val="页脚 Char"/>
    <w:basedOn w:val="6"/>
    <w:link w:val="3"/>
    <w:uiPriority w:val="0"/>
    <w:rPr>
      <w:rFonts w:ascii="Times New Roman" w:hAnsi="Times New Roman" w:eastAsia="仿宋_GB2312" w:cs="Times New Roman"/>
      <w:kern w:val="2"/>
      <w:sz w:val="18"/>
      <w:szCs w:val="18"/>
    </w:rPr>
  </w:style>
  <w:style w:type="character" w:customStyle="1" w:styleId="9">
    <w:name w:val="批注框文本 Char"/>
    <w:basedOn w:val="6"/>
    <w:link w:val="2"/>
    <w:semiHidden/>
    <w:uiPriority w:val="0"/>
    <w:rPr>
      <w:rFonts w:ascii="Times New Roman" w:hAnsi="Times New Roman" w:eastAsia="仿宋_GB2312"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1245</Words>
  <Characters>1361</Characters>
  <Lines>3</Lines>
  <Paragraphs>3</Paragraphs>
  <TotalTime>21</TotalTime>
  <ScaleCrop>false</ScaleCrop>
  <LinksUpToDate>false</LinksUpToDate>
  <CharactersWithSpaces>1369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2022-03-10T03:43:00Z</dcterms:created>
  <dc:creator>Administrator</dc:creator>
  <cp:lastModifiedBy>穆晓慧</cp:lastModifiedBy>
  <cp:lastPrinted>2022-07-29T03:05:00Z</cp:lastPrinted>
  <dcterms:modified xsi:type="dcterms:W3CDTF">2022-11-11T09:07:09Z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36DE8AE1E4354F6CADF198E759DC5630</vt:lpwstr>
  </property>
</Properties>
</file>