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CAA07">
      <w:pPr>
        <w:keepNext w:val="0"/>
        <w:keepLines w:val="0"/>
        <w:pageBreakBefore w:val="0"/>
        <w:widowControl w:val="0"/>
        <w:tabs>
          <w:tab w:val="left" w:pos="3324"/>
        </w:tabs>
        <w:kinsoku/>
        <w:wordWrap/>
        <w:overflowPunct/>
        <w:topLinePunct w:val="0"/>
        <w:autoSpaceDE/>
        <w:autoSpaceDN/>
        <w:bidi w:val="0"/>
        <w:adjustRightInd/>
        <w:snapToGrid/>
        <w:spacing w:line="20" w:lineRule="exact"/>
        <w:jc w:val="left"/>
        <w:textAlignment w:val="auto"/>
        <w:rPr>
          <w:rFonts w:hint="eastAsia"/>
          <w:lang w:val="en-US" w:eastAsia="zh-CN"/>
        </w:rPr>
      </w:pPr>
    </w:p>
    <w:p w14:paraId="3BE2FA1E">
      <w:pPr>
        <w:keepNext w:val="0"/>
        <w:keepLines w:val="0"/>
        <w:pageBreakBefore w:val="0"/>
        <w:widowControl w:val="0"/>
        <w:kinsoku/>
        <w:wordWrap/>
        <w:overflowPunct/>
        <w:topLinePunct w:val="0"/>
        <w:autoSpaceDE/>
        <w:autoSpaceDN/>
        <w:bidi w:val="0"/>
        <w:adjustRightInd w:val="0"/>
        <w:snapToGrid w:val="0"/>
        <w:spacing w:after="157" w:afterLines="50" w:line="560" w:lineRule="exact"/>
        <w:ind w:firstLine="0" w:firstLineChars="0"/>
        <w:jc w:val="center"/>
        <w:textAlignment w:val="auto"/>
        <w:rPr>
          <w:rFonts w:hint="eastAsia" w:ascii="方正小标宋_GBK" w:hAnsi="方正小标宋_GBK" w:eastAsia="方正小标宋_GBK" w:cs="方正小标宋_GBK"/>
          <w:b w:val="0"/>
          <w:bCs w:val="0"/>
          <w:sz w:val="44"/>
          <w:szCs w:val="44"/>
          <w:lang w:eastAsia="zh-CN"/>
        </w:rPr>
      </w:pPr>
      <w:r>
        <w:rPr>
          <w:rFonts w:hint="eastAsia" w:ascii="方正小标宋_GBK" w:hAnsi="方正小标宋_GBK" w:eastAsia="方正小标宋_GBK" w:cs="方正小标宋_GBK"/>
          <w:b w:val="0"/>
          <w:bCs w:val="0"/>
          <w:sz w:val="44"/>
          <w:szCs w:val="44"/>
        </w:rPr>
        <w:t>大同市</w:t>
      </w:r>
      <w:bookmarkStart w:id="2" w:name="_GoBack"/>
      <w:bookmarkEnd w:id="2"/>
      <w:r>
        <w:rPr>
          <w:rFonts w:hint="eastAsia" w:ascii="方正小标宋_GBK" w:hAnsi="方正小标宋_GBK" w:eastAsia="方正小标宋_GBK" w:cs="方正小标宋_GBK"/>
          <w:b w:val="0"/>
          <w:bCs w:val="0"/>
          <w:sz w:val="44"/>
          <w:szCs w:val="44"/>
        </w:rPr>
        <w:t>防雷减灾管理办法</w:t>
      </w:r>
      <w:r>
        <w:rPr>
          <w:rFonts w:hint="eastAsia" w:ascii="方正小标宋_GBK" w:hAnsi="方正小标宋_GBK" w:eastAsia="方正小标宋_GBK" w:cs="方正小标宋_GBK"/>
          <w:b w:val="0"/>
          <w:bCs w:val="0"/>
          <w:sz w:val="44"/>
          <w:szCs w:val="44"/>
          <w:lang w:eastAsia="zh-CN"/>
        </w:rPr>
        <w:t>（草案）</w:t>
      </w:r>
    </w:p>
    <w:p w14:paraId="42FDC5CC">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楷体_GB2312" w:hAnsi="楷体_GB2312" w:eastAsia="楷体_GB2312" w:cs="楷体_GB2312"/>
          <w:sz w:val="32"/>
          <w:szCs w:val="32"/>
          <w:lang w:val="en-US" w:eastAsia="zh-CN"/>
        </w:rPr>
      </w:pPr>
    </w:p>
    <w:p w14:paraId="1EAE581E">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bCs/>
          <w:sz w:val="32"/>
          <w:szCs w:val="32"/>
        </w:rPr>
      </w:pPr>
      <w:r>
        <w:rPr>
          <w:rFonts w:hint="eastAsia" w:ascii="国标黑体" w:hAnsi="国标黑体" w:eastAsia="国标黑体" w:cs="国标黑体"/>
          <w:b w:val="0"/>
          <w:bCs/>
          <w:kern w:val="44"/>
          <w:sz w:val="32"/>
          <w:szCs w:val="32"/>
          <w:lang w:val="en-US" w:eastAsia="zh-CN"/>
        </w:rPr>
        <w:t>第一条</w:t>
      </w:r>
      <w:r>
        <w:rPr>
          <w:rFonts w:hint="eastAsia" w:ascii="楷体_GB2312" w:hAnsi="楷体_GB2312" w:eastAsia="楷体_GB2312" w:cs="楷体_GB2312"/>
          <w:b/>
          <w:bCs/>
          <w:kern w:val="2"/>
          <w:sz w:val="32"/>
          <w:szCs w:val="32"/>
          <w:lang w:val="en-US" w:eastAsia="zh-CN" w:bidi="ar-SA"/>
        </w:rPr>
        <w:t>　</w:t>
      </w:r>
      <w:r>
        <w:rPr>
          <w:rFonts w:hint="eastAsia" w:ascii="仿宋_GB2312" w:hAnsi="仿宋_GB2312" w:eastAsia="仿宋_GB2312" w:cs="仿宋_GB2312"/>
          <w:b w:val="0"/>
          <w:bCs w:val="0"/>
          <w:color w:val="auto"/>
          <w:sz w:val="32"/>
          <w:szCs w:val="32"/>
        </w:rPr>
        <w:t>为了加强雷电灾害防御工作，保护国家利益和人民生命财产安全，维护公共安全，促进经济建设和社会发展，</w:t>
      </w:r>
      <w:r>
        <w:rPr>
          <w:rFonts w:hint="eastAsia" w:ascii="仿宋_GB2312" w:hAnsi="仿宋_GB2312" w:eastAsia="仿宋_GB2312" w:cs="仿宋_GB2312"/>
          <w:b w:val="0"/>
          <w:bCs w:val="0"/>
          <w:sz w:val="32"/>
          <w:szCs w:val="32"/>
          <w:highlight w:val="none"/>
        </w:rPr>
        <w:t>根据《中华人民共和国气象法</w:t>
      </w:r>
      <w:r>
        <w:rPr>
          <w:rFonts w:hint="eastAsia" w:ascii="仿宋_GB2312" w:hAnsi="仿宋_GB2312" w:eastAsia="仿宋_GB2312" w:cs="仿宋_GB2312"/>
          <w:b w:val="0"/>
          <w:bCs w:val="0"/>
          <w:strike w:val="0"/>
          <w:dstrike w:val="0"/>
          <w:color w:val="auto"/>
          <w:sz w:val="32"/>
          <w:szCs w:val="32"/>
          <w:highlight w:val="none"/>
        </w:rPr>
        <w:t>》</w:t>
      </w:r>
      <w:r>
        <w:rPr>
          <w:rFonts w:hint="eastAsia" w:ascii="仿宋_GB2312" w:hAnsi="仿宋_GB2312" w:eastAsia="仿宋_GB2312" w:cs="仿宋_GB2312"/>
          <w:b w:val="0"/>
          <w:bCs w:val="0"/>
          <w:strike w:val="0"/>
          <w:dstrike w:val="0"/>
          <w:sz w:val="32"/>
          <w:szCs w:val="32"/>
          <w:highlight w:val="none"/>
        </w:rPr>
        <w:t>《</w:t>
      </w:r>
      <w:r>
        <w:rPr>
          <w:rFonts w:hint="eastAsia" w:ascii="仿宋_GB2312" w:hAnsi="仿宋_GB2312" w:eastAsia="仿宋_GB2312" w:cs="仿宋_GB2312"/>
          <w:b w:val="0"/>
          <w:bCs w:val="0"/>
          <w:sz w:val="32"/>
          <w:szCs w:val="32"/>
          <w:highlight w:val="none"/>
        </w:rPr>
        <w:t>气象灾害防御条例》以及《山西省气象灾害防御条例》等法律、法规，结合本市实际，制定本办法。</w:t>
      </w:r>
    </w:p>
    <w:p w14:paraId="2206AC81">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bCs/>
          <w:sz w:val="32"/>
          <w:szCs w:val="32"/>
        </w:rPr>
      </w:pPr>
      <w:r>
        <w:rPr>
          <w:rFonts w:hint="eastAsia" w:ascii="国标黑体" w:hAnsi="国标黑体" w:eastAsia="国标黑体" w:cs="国标黑体"/>
          <w:b w:val="0"/>
          <w:bCs/>
          <w:kern w:val="44"/>
          <w:sz w:val="32"/>
          <w:szCs w:val="32"/>
          <w:lang w:val="en-US" w:eastAsia="zh-CN"/>
        </w:rPr>
        <w:t>第二条</w:t>
      </w:r>
      <w:r>
        <w:rPr>
          <w:rFonts w:hint="eastAsia" w:ascii="楷体_GB2312" w:hAnsi="楷体_GB2312" w:eastAsia="楷体_GB2312" w:cs="楷体_GB2312"/>
          <w:b/>
          <w:bCs/>
          <w:kern w:val="2"/>
          <w:sz w:val="32"/>
          <w:szCs w:val="32"/>
          <w:lang w:val="en-US" w:eastAsia="zh-CN" w:bidi="ar-SA"/>
        </w:rPr>
        <w:t>　</w:t>
      </w:r>
      <w:r>
        <w:rPr>
          <w:rFonts w:hint="eastAsia" w:ascii="仿宋_GB2312" w:hAnsi="仿宋_GB2312" w:eastAsia="仿宋_GB2312" w:cs="仿宋_GB2312"/>
          <w:b w:val="0"/>
          <w:bCs w:val="0"/>
          <w:color w:val="auto"/>
          <w:sz w:val="32"/>
          <w:szCs w:val="32"/>
        </w:rPr>
        <w:t>在本市行政区域内从事</w:t>
      </w:r>
      <w:r>
        <w:rPr>
          <w:rFonts w:hint="eastAsia" w:ascii="仿宋_GB2312" w:hAnsi="仿宋_GB2312" w:eastAsia="仿宋_GB2312" w:cs="仿宋_GB2312"/>
          <w:b w:val="0"/>
          <w:bCs w:val="0"/>
          <w:color w:val="auto"/>
          <w:sz w:val="32"/>
          <w:szCs w:val="32"/>
          <w:lang w:val="en-US" w:eastAsia="zh-CN"/>
        </w:rPr>
        <w:t>雷电灾害防御</w:t>
      </w:r>
      <w:r>
        <w:rPr>
          <w:rFonts w:hint="eastAsia" w:ascii="仿宋_GB2312" w:hAnsi="仿宋_GB2312" w:eastAsia="仿宋_GB2312" w:cs="仿宋_GB2312"/>
          <w:b w:val="0"/>
          <w:bCs w:val="0"/>
          <w:color w:val="auto"/>
          <w:sz w:val="32"/>
          <w:szCs w:val="32"/>
        </w:rPr>
        <w:t>活动的组织和个人，应当遵守本办法。</w:t>
      </w:r>
      <w:r>
        <w:rPr>
          <w:rFonts w:hint="eastAsia" w:ascii="仿宋_GB2312" w:hAnsi="仿宋_GB2312" w:eastAsia="仿宋_GB2312" w:cs="仿宋_GB2312"/>
          <w:b w:val="0"/>
          <w:bCs w:val="0"/>
          <w:color w:val="auto"/>
          <w:sz w:val="32"/>
          <w:szCs w:val="32"/>
        </w:rPr>
        <w:br w:type="textWrapping"/>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本办法所称</w:t>
      </w:r>
      <w:r>
        <w:rPr>
          <w:rFonts w:hint="eastAsia" w:ascii="仿宋_GB2312" w:hAnsi="仿宋_GB2312" w:eastAsia="仿宋_GB2312" w:cs="仿宋_GB2312"/>
          <w:b w:val="0"/>
          <w:bCs w:val="0"/>
          <w:color w:val="auto"/>
          <w:sz w:val="32"/>
          <w:szCs w:val="32"/>
          <w:lang w:val="en-US" w:eastAsia="zh-CN"/>
        </w:rPr>
        <w:t>雷电灾害防御（以下简称“</w:t>
      </w:r>
      <w:r>
        <w:rPr>
          <w:rFonts w:hint="eastAsia" w:ascii="仿宋_GB2312" w:hAnsi="仿宋_GB2312" w:eastAsia="仿宋_GB2312" w:cs="仿宋_GB2312"/>
          <w:b w:val="0"/>
          <w:bCs w:val="0"/>
          <w:color w:val="auto"/>
          <w:sz w:val="32"/>
          <w:szCs w:val="32"/>
        </w:rPr>
        <w:t>防雷减灾</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rPr>
        <w:t>，是指防御和减轻雷电灾害的活动，包括雷电和雷电灾害的研究、监测、预警、风险评估、防护、科普宣传以及雷电灾害的调查、鉴定等。</w:t>
      </w:r>
    </w:p>
    <w:p w14:paraId="3789121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sz w:val="32"/>
          <w:szCs w:val="32"/>
          <w:highlight w:val="none"/>
        </w:rPr>
      </w:pPr>
      <w:r>
        <w:rPr>
          <w:rFonts w:hint="eastAsia" w:ascii="国标黑体" w:hAnsi="国标黑体" w:eastAsia="国标黑体" w:cs="国标黑体"/>
          <w:b w:val="0"/>
          <w:bCs/>
          <w:kern w:val="44"/>
          <w:sz w:val="32"/>
          <w:szCs w:val="32"/>
          <w:lang w:val="en-US" w:eastAsia="zh-CN"/>
        </w:rPr>
        <w:t>第三条</w:t>
      </w:r>
      <w:r>
        <w:rPr>
          <w:rFonts w:hint="eastAsia" w:ascii="楷体_GB2312" w:hAnsi="楷体_GB2312" w:eastAsia="楷体_GB2312" w:cs="楷体_GB2312"/>
          <w:b/>
          <w:bCs/>
          <w:kern w:val="2"/>
          <w:sz w:val="32"/>
          <w:szCs w:val="32"/>
          <w:lang w:val="en-US" w:eastAsia="zh-CN" w:bidi="ar-SA"/>
        </w:rPr>
        <w:t>　</w:t>
      </w:r>
      <w:r>
        <w:rPr>
          <w:rFonts w:hint="eastAsia" w:ascii="仿宋_GB2312" w:hAnsi="仿宋_GB2312" w:eastAsia="仿宋_GB2312" w:cs="仿宋_GB2312"/>
          <w:b w:val="0"/>
          <w:bCs w:val="0"/>
          <w:sz w:val="32"/>
          <w:szCs w:val="32"/>
        </w:rPr>
        <w:t>防雷减灾工作</w:t>
      </w:r>
      <w:r>
        <w:rPr>
          <w:rFonts w:hint="eastAsia" w:ascii="仿宋_GB2312" w:hAnsi="仿宋_GB2312" w:eastAsia="仿宋_GB2312" w:cs="仿宋_GB2312"/>
          <w:b w:val="0"/>
          <w:bCs w:val="0"/>
          <w:sz w:val="32"/>
          <w:szCs w:val="32"/>
          <w:lang w:val="en-US" w:eastAsia="zh-CN"/>
        </w:rPr>
        <w:t>坚持以人为</w:t>
      </w:r>
      <w:r>
        <w:rPr>
          <w:rFonts w:hint="eastAsia" w:ascii="仿宋_GB2312" w:hAnsi="仿宋_GB2312" w:eastAsia="仿宋_GB2312" w:cs="仿宋_GB2312"/>
          <w:b w:val="0"/>
          <w:bCs w:val="0"/>
          <w:sz w:val="32"/>
          <w:szCs w:val="32"/>
          <w:highlight w:val="none"/>
          <w:lang w:val="en-US" w:eastAsia="zh-CN"/>
        </w:rPr>
        <w:t>本、</w:t>
      </w:r>
      <w:r>
        <w:rPr>
          <w:rFonts w:hint="eastAsia" w:ascii="仿宋_GB2312" w:hAnsi="仿宋_GB2312" w:eastAsia="仿宋_GB2312" w:cs="仿宋_GB2312"/>
          <w:b w:val="0"/>
          <w:bCs w:val="0"/>
          <w:sz w:val="32"/>
          <w:szCs w:val="32"/>
          <w:highlight w:val="none"/>
        </w:rPr>
        <w:t>安全第一、预防为主、防治结合的原则。</w:t>
      </w:r>
    </w:p>
    <w:p w14:paraId="648D0D16">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sz w:val="32"/>
          <w:szCs w:val="32"/>
        </w:rPr>
      </w:pPr>
      <w:r>
        <w:rPr>
          <w:rFonts w:hint="eastAsia" w:ascii="国标黑体" w:hAnsi="国标黑体" w:eastAsia="国标黑体" w:cs="国标黑体"/>
          <w:b w:val="0"/>
          <w:bCs/>
          <w:kern w:val="44"/>
          <w:sz w:val="32"/>
          <w:szCs w:val="32"/>
          <w:lang w:val="en-US" w:eastAsia="zh-CN"/>
        </w:rPr>
        <w:t>第四条</w:t>
      </w:r>
      <w:r>
        <w:rPr>
          <w:rFonts w:hint="eastAsia" w:ascii="Calibri" w:hAnsi="Calibri" w:eastAsia="楷体_GB2312" w:cs="Times New Roman"/>
          <w:b/>
          <w:kern w:val="44"/>
          <w:szCs w:val="24"/>
          <w:lang w:val="en-US" w:eastAsia="zh-CN"/>
        </w:rPr>
        <w:t xml:space="preserve">  </w:t>
      </w:r>
      <w:r>
        <w:rPr>
          <w:rFonts w:hint="eastAsia" w:ascii="仿宋_GB2312" w:hAnsi="仿宋_GB2312" w:eastAsia="仿宋_GB2312" w:cs="仿宋_GB2312"/>
          <w:b w:val="0"/>
          <w:bCs w:val="0"/>
          <w:sz w:val="32"/>
          <w:szCs w:val="32"/>
          <w:highlight w:val="none"/>
        </w:rPr>
        <w:t>市、县</w:t>
      </w:r>
      <w:r>
        <w:rPr>
          <w:rFonts w:hint="eastAsia" w:ascii="仿宋_GB2312" w:hAnsi="仿宋_GB2312" w:eastAsia="仿宋_GB2312" w:cs="仿宋_GB2312"/>
          <w:b w:val="0"/>
          <w:bCs w:val="0"/>
          <w:strike w:val="0"/>
          <w:dstrike w:val="0"/>
          <w:sz w:val="32"/>
          <w:szCs w:val="32"/>
          <w:highlight w:val="none"/>
        </w:rPr>
        <w:t>（区）</w:t>
      </w:r>
      <w:r>
        <w:rPr>
          <w:rFonts w:hint="eastAsia" w:ascii="仿宋_GB2312" w:hAnsi="仿宋_GB2312" w:eastAsia="仿宋_GB2312" w:cs="仿宋_GB2312"/>
          <w:b w:val="0"/>
          <w:bCs w:val="0"/>
          <w:sz w:val="32"/>
          <w:szCs w:val="32"/>
          <w:highlight w:val="none"/>
        </w:rPr>
        <w:t>人民政府应当加强对防雷减灾工作的组织、领导和协调，将防雷减灾工作纳入本级国民经济和社会发展规划、公共安全与应急管理体系，组织制定并实施防雷减灾应急预案，所需经费纳入本级财政预算。</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b w:val="0"/>
          <w:bCs w:val="0"/>
          <w:color w:val="auto"/>
          <w:sz w:val="32"/>
          <w:szCs w:val="32"/>
        </w:rPr>
        <w:t>乡（镇）人民政府、街道办事处以及开发区管理机构应当协助气象主管机构以及有关部门做好防雷减灾工作。</w:t>
      </w:r>
    </w:p>
    <w:p w14:paraId="4E2F4FDA">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sz w:val="32"/>
          <w:szCs w:val="32"/>
        </w:rPr>
      </w:pPr>
      <w:r>
        <w:rPr>
          <w:rFonts w:hint="eastAsia" w:ascii="国标黑体" w:hAnsi="国标黑体" w:eastAsia="国标黑体" w:cs="国标黑体"/>
          <w:b w:val="0"/>
          <w:bCs/>
          <w:kern w:val="44"/>
          <w:sz w:val="32"/>
          <w:szCs w:val="32"/>
          <w:lang w:val="en-US" w:eastAsia="zh-CN"/>
        </w:rPr>
        <w:t>第五条</w:t>
      </w:r>
      <w:r>
        <w:rPr>
          <w:rFonts w:hint="eastAsia" w:ascii="楷体_GB2312" w:hAnsi="楷体_GB2312" w:eastAsia="楷体_GB2312" w:cs="楷体_GB2312"/>
          <w:b/>
          <w:bCs/>
          <w:kern w:val="2"/>
          <w:sz w:val="32"/>
          <w:szCs w:val="32"/>
          <w:lang w:val="en-US" w:eastAsia="zh-CN" w:bidi="ar-SA"/>
        </w:rPr>
        <w:t>　</w:t>
      </w:r>
      <w:r>
        <w:rPr>
          <w:rFonts w:hint="eastAsia" w:ascii="仿宋_GB2312" w:hAnsi="仿宋_GB2312" w:eastAsia="仿宋_GB2312" w:cs="仿宋_GB2312"/>
          <w:b w:val="0"/>
          <w:bCs w:val="0"/>
          <w:sz w:val="32"/>
          <w:szCs w:val="32"/>
        </w:rPr>
        <w:t>市、县（区）气象主管机构负责组织管理本行政区域内的防雷减灾工作。未设气象主管机构的</w:t>
      </w:r>
      <w:r>
        <w:rPr>
          <w:rFonts w:hint="eastAsia" w:ascii="仿宋_GB2312" w:hAnsi="仿宋_GB2312" w:eastAsia="仿宋_GB2312" w:cs="仿宋_GB2312"/>
          <w:b w:val="0"/>
          <w:bCs w:val="0"/>
          <w:sz w:val="32"/>
          <w:szCs w:val="32"/>
          <w:lang w:val="en-US" w:eastAsia="zh-CN"/>
        </w:rPr>
        <w:t>市辖区，由</w:t>
      </w:r>
      <w:r>
        <w:rPr>
          <w:rFonts w:hint="eastAsia" w:ascii="仿宋_GB2312" w:hAnsi="仿宋_GB2312" w:eastAsia="仿宋_GB2312" w:cs="仿宋_GB2312"/>
          <w:b w:val="0"/>
          <w:bCs w:val="0"/>
          <w:sz w:val="32"/>
          <w:szCs w:val="32"/>
        </w:rPr>
        <w:t>区人民政府</w:t>
      </w:r>
      <w:r>
        <w:rPr>
          <w:rFonts w:hint="eastAsia" w:ascii="仿宋_GB2312" w:hAnsi="仿宋_GB2312" w:eastAsia="仿宋_GB2312" w:cs="仿宋_GB2312"/>
          <w:b w:val="0"/>
          <w:bCs w:val="0"/>
          <w:color w:val="auto"/>
          <w:sz w:val="32"/>
          <w:szCs w:val="32"/>
          <w:lang w:val="en-US" w:eastAsia="zh-CN"/>
        </w:rPr>
        <w:t>指定</w:t>
      </w:r>
      <w:r>
        <w:rPr>
          <w:rFonts w:hint="eastAsia" w:ascii="仿宋_GB2312" w:hAnsi="仿宋_GB2312" w:eastAsia="仿宋_GB2312" w:cs="仿宋_GB2312"/>
          <w:b w:val="0"/>
          <w:bCs w:val="0"/>
          <w:color w:val="auto"/>
          <w:sz w:val="32"/>
          <w:szCs w:val="32"/>
        </w:rPr>
        <w:t>有关部门</w:t>
      </w:r>
      <w:r>
        <w:rPr>
          <w:rFonts w:hint="eastAsia" w:ascii="仿宋_GB2312" w:hAnsi="仿宋_GB2312" w:eastAsia="仿宋_GB2312" w:cs="仿宋_GB2312"/>
          <w:b w:val="0"/>
          <w:bCs w:val="0"/>
          <w:color w:val="auto"/>
          <w:sz w:val="32"/>
          <w:szCs w:val="32"/>
          <w:lang w:val="en-US" w:eastAsia="zh-CN"/>
        </w:rPr>
        <w:t>负责</w:t>
      </w:r>
      <w:r>
        <w:rPr>
          <w:rFonts w:hint="eastAsia" w:ascii="仿宋_GB2312" w:hAnsi="仿宋_GB2312" w:eastAsia="仿宋_GB2312" w:cs="仿宋_GB2312"/>
          <w:b w:val="0"/>
          <w:bCs w:val="0"/>
          <w:sz w:val="32"/>
          <w:szCs w:val="32"/>
        </w:rPr>
        <w:t>防雷减灾工作。</w:t>
      </w:r>
    </w:p>
    <w:p w14:paraId="4143AF6C">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Chars="0"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发展改革、教育、工业和信息化、财政、住房和城乡建设、城市管理、交通运输、水</w:t>
      </w:r>
      <w:r>
        <w:rPr>
          <w:rFonts w:hint="eastAsia" w:ascii="仿宋_GB2312" w:hAnsi="仿宋_GB2312" w:eastAsia="仿宋_GB2312" w:cs="仿宋_GB2312"/>
          <w:b w:val="0"/>
          <w:bCs w:val="0"/>
          <w:sz w:val="32"/>
          <w:szCs w:val="32"/>
          <w:lang w:val="en-US" w:eastAsia="zh-CN"/>
        </w:rPr>
        <w:t>利</w:t>
      </w:r>
      <w:r>
        <w:rPr>
          <w:rFonts w:hint="eastAsia" w:ascii="仿宋_GB2312" w:hAnsi="仿宋_GB2312" w:eastAsia="仿宋_GB2312" w:cs="仿宋_GB2312"/>
          <w:b w:val="0"/>
          <w:bCs w:val="0"/>
          <w:sz w:val="32"/>
          <w:szCs w:val="32"/>
        </w:rPr>
        <w:t>、农业农村、商务、文化和旅游、卫生健康、应急管理、能源等有关部门，应当按照各自职责做好防雷减灾相关工作。</w:t>
      </w:r>
    </w:p>
    <w:p w14:paraId="537E14CB">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对本办法列明的应当安装雷电防护装置的从事生产经营活动的单位，依法负有安全生产监督管理职责的部门应当将其防雷减灾工作纳入安全生产监督管理范围，按照职责分工，共同做好防雷减灾工作。</w:t>
      </w:r>
    </w:p>
    <w:p w14:paraId="7B30A2B0">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国标黑体" w:hAnsi="国标黑体" w:eastAsia="国标黑体" w:cs="国标黑体"/>
          <w:b w:val="0"/>
          <w:bCs/>
          <w:kern w:val="44"/>
          <w:sz w:val="32"/>
          <w:szCs w:val="32"/>
          <w:lang w:val="en-US" w:eastAsia="zh-CN"/>
        </w:rPr>
        <w:t>第六条</w:t>
      </w:r>
      <w:r>
        <w:rPr>
          <w:rFonts w:hint="eastAsia" w:ascii="仿宋_GB2312" w:hAnsi="仿宋_GB2312" w:eastAsia="仿宋_GB2312" w:cs="仿宋_GB2312"/>
          <w:b w:val="0"/>
          <w:bCs w:val="0"/>
          <w:sz w:val="32"/>
          <w:szCs w:val="32"/>
          <w:lang w:val="en-US" w:eastAsia="zh-CN"/>
        </w:rPr>
        <w:t xml:space="preserve">  </w:t>
      </w:r>
      <w:r>
        <w:rPr>
          <w:rFonts w:hint="default" w:ascii="仿宋_GB2312" w:hAnsi="仿宋_GB2312" w:eastAsia="仿宋_GB2312" w:cs="仿宋_GB2312"/>
          <w:b w:val="0"/>
          <w:bCs w:val="0"/>
          <w:sz w:val="32"/>
          <w:szCs w:val="32"/>
          <w:lang w:val="en-US" w:eastAsia="zh-CN"/>
        </w:rPr>
        <w:t>市、县（区）人民政府、气象主管机构和有关部门应当加强防雷减灾法律法规和相关科普知识宣传普及，增强全社会防雷减灾意识和自救互救能力。</w:t>
      </w:r>
    </w:p>
    <w:p w14:paraId="2293A14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机关、企业事业单位、群众性自治组织，应当结合实际，做好本单位、本区域群众性的防雷减灾知识宣传。</w:t>
      </w:r>
    </w:p>
    <w:p w14:paraId="7550274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教育行政主管部门应当指导和督促学校将防雷减灾知识纳入相关课程和课外教育内容。</w:t>
      </w:r>
    </w:p>
    <w:p w14:paraId="5C059A4D">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广播、电视、报刊、电信、互联网等媒体应当开展公益性防雷减灾知识宣传</w:t>
      </w:r>
      <w:r>
        <w:rPr>
          <w:rFonts w:hint="eastAsia" w:ascii="仿宋_GB2312" w:hAnsi="仿宋_GB2312" w:eastAsia="仿宋_GB2312" w:cs="仿宋_GB2312"/>
          <w:b w:val="0"/>
          <w:bCs w:val="0"/>
          <w:sz w:val="32"/>
          <w:szCs w:val="32"/>
          <w:lang w:val="en-US" w:eastAsia="zh-CN"/>
        </w:rPr>
        <w:t>。</w:t>
      </w:r>
    </w:p>
    <w:p w14:paraId="5B8340AD">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0" w:leftChars="0" w:firstLine="640" w:firstLineChars="200"/>
        <w:jc w:val="both"/>
        <w:textAlignment w:val="auto"/>
        <w:rPr>
          <w:rFonts w:hint="eastAsia" w:ascii="仿宋_GB2312" w:hAnsi="仿宋_GB2312" w:eastAsia="仿宋_GB2312" w:cs="仿宋_GB2312"/>
          <w:b w:val="0"/>
          <w:bCs w:val="0"/>
          <w:sz w:val="20"/>
          <w:szCs w:val="20"/>
          <w:lang w:val="en-US" w:eastAsia="zh-CN"/>
        </w:rPr>
      </w:pPr>
      <w:r>
        <w:rPr>
          <w:rFonts w:hint="eastAsia" w:ascii="国标黑体" w:hAnsi="国标黑体" w:eastAsia="国标黑体" w:cs="国标黑体"/>
          <w:b w:val="0"/>
          <w:bCs/>
          <w:kern w:val="44"/>
          <w:sz w:val="32"/>
          <w:szCs w:val="32"/>
          <w:lang w:val="en-US" w:eastAsia="zh-CN"/>
        </w:rPr>
        <w:t>第七条</w:t>
      </w:r>
      <w:r>
        <w:rPr>
          <w:rFonts w:hint="eastAsia" w:ascii="楷体_GB2312" w:hAnsi="楷体_GB2312" w:eastAsia="楷体_GB2312" w:cs="楷体_GB2312"/>
          <w:b w:val="0"/>
          <w:bCs w:val="0"/>
          <w:kern w:val="2"/>
          <w:sz w:val="32"/>
          <w:szCs w:val="32"/>
          <w:lang w:val="en-US" w:eastAsia="zh-CN" w:bidi="ar-SA"/>
        </w:rPr>
        <w:t>　</w:t>
      </w:r>
      <w:r>
        <w:rPr>
          <w:rFonts w:hint="default" w:ascii="仿宋_GB2312" w:hAnsi="仿宋_GB2312" w:eastAsia="仿宋_GB2312" w:cs="仿宋_GB2312"/>
          <w:b w:val="0"/>
          <w:bCs w:val="0"/>
          <w:color w:val="auto"/>
          <w:sz w:val="32"/>
          <w:szCs w:val="32"/>
          <w:lang w:val="en-US" w:eastAsia="zh-CN"/>
        </w:rPr>
        <w:t>市、县（区）人民政府鼓励和支持防雷减灾的科学技术研究和开发，推广应用防雷科技研究成果，加强防雷标准化工作，提高防雷技术水平。</w:t>
      </w:r>
    </w:p>
    <w:p w14:paraId="222201D8">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第八条</w:t>
      </w:r>
      <w:r>
        <w:rPr>
          <w:rFonts w:hint="eastAsia" w:ascii="楷体_GB2312" w:hAnsi="楷体_GB2312" w:eastAsia="楷体_GB2312" w:cs="楷体_GB2312"/>
          <w:b w:val="0"/>
          <w:bCs w:val="0"/>
          <w:color w:val="auto"/>
          <w:kern w:val="2"/>
          <w:sz w:val="32"/>
          <w:szCs w:val="32"/>
          <w:lang w:val="en-US" w:eastAsia="zh-CN" w:bidi="ar-SA"/>
        </w:rPr>
        <w:t>　</w:t>
      </w:r>
      <w:r>
        <w:rPr>
          <w:rFonts w:hint="default" w:ascii="仿宋_GB2312" w:hAnsi="仿宋_GB2312" w:eastAsia="仿宋_GB2312" w:cs="仿宋_GB2312"/>
          <w:b w:val="0"/>
          <w:bCs w:val="0"/>
          <w:color w:val="auto"/>
          <w:sz w:val="32"/>
          <w:szCs w:val="32"/>
          <w:lang w:val="en-US" w:eastAsia="zh-CN"/>
        </w:rPr>
        <w:t>市、县</w:t>
      </w:r>
      <w:r>
        <w:rPr>
          <w:rFonts w:hint="eastAsia" w:ascii="仿宋_GB2312" w:hAnsi="仿宋_GB2312" w:eastAsia="仿宋_GB2312" w:cs="仿宋_GB2312"/>
          <w:b w:val="0"/>
          <w:bCs w:val="0"/>
          <w:color w:val="auto"/>
          <w:sz w:val="32"/>
          <w:szCs w:val="32"/>
          <w:lang w:val="en-US" w:eastAsia="zh-CN"/>
        </w:rPr>
        <w:t>（区）</w:t>
      </w:r>
      <w:r>
        <w:rPr>
          <w:rFonts w:hint="default" w:ascii="仿宋_GB2312" w:hAnsi="仿宋_GB2312" w:eastAsia="仿宋_GB2312" w:cs="仿宋_GB2312"/>
          <w:b w:val="0"/>
          <w:bCs w:val="0"/>
          <w:color w:val="auto"/>
          <w:sz w:val="32"/>
          <w:szCs w:val="32"/>
          <w:lang w:val="en-US" w:eastAsia="zh-CN"/>
        </w:rPr>
        <w:t>人民政府应当完善雷电监测</w:t>
      </w:r>
      <w:r>
        <w:rPr>
          <w:rFonts w:hint="eastAsia" w:ascii="仿宋_GB2312" w:hAnsi="仿宋_GB2312" w:eastAsia="仿宋_GB2312" w:cs="仿宋_GB2312"/>
          <w:b w:val="0"/>
          <w:bCs w:val="0"/>
          <w:color w:val="auto"/>
          <w:sz w:val="32"/>
          <w:szCs w:val="32"/>
          <w:lang w:val="en-US" w:eastAsia="zh-CN"/>
        </w:rPr>
        <w:t>体系</w:t>
      </w:r>
      <w:r>
        <w:rPr>
          <w:rFonts w:hint="default" w:ascii="仿宋_GB2312" w:hAnsi="仿宋_GB2312" w:eastAsia="仿宋_GB2312" w:cs="仿宋_GB2312"/>
          <w:b w:val="0"/>
          <w:bCs w:val="0"/>
          <w:color w:val="auto"/>
          <w:sz w:val="32"/>
          <w:szCs w:val="32"/>
          <w:lang w:val="en-US" w:eastAsia="zh-CN"/>
        </w:rPr>
        <w:t>，在石化、电力等重大建设工程所在地和重点森林防火区域加密建设雷电监测设施</w:t>
      </w:r>
      <w:r>
        <w:rPr>
          <w:rFonts w:hint="eastAsia" w:ascii="仿宋_GB2312" w:hAnsi="仿宋_GB2312" w:eastAsia="仿宋_GB2312" w:cs="仿宋_GB2312"/>
          <w:b w:val="0"/>
          <w:bCs w:val="0"/>
          <w:color w:val="auto"/>
          <w:sz w:val="32"/>
          <w:szCs w:val="32"/>
          <w:lang w:val="en-US" w:eastAsia="zh-CN"/>
        </w:rPr>
        <w:t>，整合雷电监测信息网络，</w:t>
      </w:r>
      <w:r>
        <w:rPr>
          <w:rFonts w:hint="default" w:ascii="仿宋_GB2312" w:hAnsi="仿宋_GB2312" w:eastAsia="仿宋_GB2312" w:cs="仿宋_GB2312"/>
          <w:b w:val="0"/>
          <w:bCs w:val="0"/>
          <w:color w:val="auto"/>
          <w:sz w:val="32"/>
          <w:szCs w:val="32"/>
          <w:lang w:val="en-US" w:eastAsia="zh-CN"/>
        </w:rPr>
        <w:t>实现信息资源共享</w:t>
      </w:r>
      <w:r>
        <w:rPr>
          <w:rFonts w:hint="eastAsia" w:ascii="仿宋_GB2312" w:hAnsi="仿宋_GB2312" w:eastAsia="仿宋_GB2312" w:cs="仿宋_GB2312"/>
          <w:b w:val="0"/>
          <w:bCs w:val="0"/>
          <w:color w:val="auto"/>
          <w:sz w:val="32"/>
          <w:szCs w:val="32"/>
          <w:lang w:val="en-US" w:eastAsia="zh-CN"/>
        </w:rPr>
        <w:t>。</w:t>
      </w:r>
    </w:p>
    <w:p w14:paraId="5B1D6222">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市、县（区）气象主管机构所属气象台站应当根据雷电灾害防御的需要，按照职责开展雷电监测，</w:t>
      </w:r>
      <w:r>
        <w:rPr>
          <w:rFonts w:hint="eastAsia" w:ascii="仿宋_GB2312" w:hAnsi="仿宋_GB2312" w:eastAsia="仿宋_GB2312" w:cs="仿宋_GB2312"/>
          <w:b w:val="0"/>
          <w:bCs w:val="0"/>
          <w:color w:val="auto"/>
          <w:sz w:val="32"/>
          <w:szCs w:val="32"/>
          <w:lang w:val="en-US" w:eastAsia="zh-CN"/>
        </w:rPr>
        <w:t>并</w:t>
      </w:r>
      <w:r>
        <w:rPr>
          <w:rFonts w:hint="default" w:ascii="仿宋_GB2312" w:hAnsi="仿宋_GB2312" w:eastAsia="仿宋_GB2312" w:cs="仿宋_GB2312"/>
          <w:b w:val="0"/>
          <w:bCs w:val="0"/>
          <w:color w:val="auto"/>
          <w:sz w:val="32"/>
          <w:szCs w:val="32"/>
          <w:lang w:val="en-US" w:eastAsia="zh-CN"/>
        </w:rPr>
        <w:t>及时向社会发布雷电预报</w:t>
      </w:r>
      <w:r>
        <w:rPr>
          <w:rFonts w:hint="eastAsia" w:ascii="仿宋_GB2312" w:hAnsi="仿宋_GB2312" w:eastAsia="仿宋_GB2312" w:cs="仿宋_GB2312"/>
          <w:b w:val="0"/>
          <w:bCs w:val="0"/>
          <w:color w:val="auto"/>
          <w:sz w:val="32"/>
          <w:szCs w:val="32"/>
          <w:lang w:val="en-US" w:eastAsia="zh-CN"/>
        </w:rPr>
        <w:t>和预警信号。其他组织和个人不得向社会发布雷电预警信号。</w:t>
      </w:r>
    </w:p>
    <w:p w14:paraId="7663459D">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第九条</w:t>
      </w:r>
      <w:r>
        <w:rPr>
          <w:rFonts w:hint="eastAsia" w:ascii="仿宋_GB2312" w:hAnsi="仿宋_GB2312" w:eastAsia="仿宋_GB2312" w:cs="仿宋_GB2312"/>
          <w:b w:val="0"/>
          <w:bCs w:val="0"/>
          <w:color w:val="auto"/>
          <w:sz w:val="32"/>
          <w:szCs w:val="32"/>
          <w:lang w:val="en-US" w:eastAsia="zh-CN"/>
        </w:rPr>
        <w:t xml:space="preserve">  </w:t>
      </w:r>
      <w:r>
        <w:rPr>
          <w:rFonts w:hint="default" w:ascii="仿宋_GB2312" w:hAnsi="仿宋_GB2312" w:eastAsia="仿宋_GB2312" w:cs="仿宋_GB2312"/>
          <w:b w:val="0"/>
          <w:bCs w:val="0"/>
          <w:color w:val="auto"/>
          <w:sz w:val="32"/>
          <w:szCs w:val="32"/>
          <w:lang w:val="en-US" w:eastAsia="zh-CN"/>
        </w:rPr>
        <w:t>广播、电视、报纸、网络等媒体和电信运营企业应当及时、准确</w:t>
      </w:r>
      <w:r>
        <w:rPr>
          <w:rFonts w:hint="eastAsia" w:ascii="仿宋_GB2312" w:hAnsi="仿宋_GB2312" w:eastAsia="仿宋_GB2312" w:cs="仿宋_GB2312"/>
          <w:b w:val="0"/>
          <w:bCs w:val="0"/>
          <w:color w:val="auto"/>
          <w:sz w:val="32"/>
          <w:szCs w:val="32"/>
          <w:lang w:val="en-US" w:eastAsia="zh-CN"/>
        </w:rPr>
        <w:t>、无偿</w:t>
      </w:r>
      <w:r>
        <w:rPr>
          <w:rFonts w:hint="default" w:ascii="仿宋_GB2312" w:hAnsi="仿宋_GB2312" w:eastAsia="仿宋_GB2312" w:cs="仿宋_GB2312"/>
          <w:b w:val="0"/>
          <w:bCs w:val="0"/>
          <w:color w:val="auto"/>
          <w:sz w:val="32"/>
          <w:szCs w:val="32"/>
          <w:lang w:val="en-US" w:eastAsia="zh-CN"/>
        </w:rPr>
        <w:t>向社会播发或者刊登当地气象主管机构所属的气象台站提供的</w:t>
      </w:r>
      <w:r>
        <w:rPr>
          <w:rFonts w:hint="eastAsia" w:ascii="仿宋_GB2312" w:hAnsi="仿宋_GB2312" w:eastAsia="仿宋_GB2312" w:cs="仿宋_GB2312"/>
          <w:b w:val="0"/>
          <w:bCs w:val="0"/>
          <w:color w:val="auto"/>
          <w:sz w:val="32"/>
          <w:szCs w:val="32"/>
          <w:lang w:val="en-US" w:eastAsia="zh-CN"/>
        </w:rPr>
        <w:t>雷电预报和预警信号</w:t>
      </w:r>
      <w:r>
        <w:rPr>
          <w:rFonts w:hint="default" w:ascii="仿宋_GB2312" w:hAnsi="仿宋_GB2312" w:eastAsia="仿宋_GB2312" w:cs="仿宋_GB2312"/>
          <w:b w:val="0"/>
          <w:bCs w:val="0"/>
          <w:color w:val="auto"/>
          <w:sz w:val="32"/>
          <w:szCs w:val="32"/>
          <w:lang w:val="en-US" w:eastAsia="zh-CN"/>
        </w:rPr>
        <w:t>，并标明发布时间和气象台站的名称。</w:t>
      </w:r>
    </w:p>
    <w:p w14:paraId="0F470777">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乡（镇）人民政府、街道办事处在收到气象主管机构所属的气象台站发布的</w:t>
      </w:r>
      <w:r>
        <w:rPr>
          <w:rFonts w:hint="eastAsia" w:ascii="仿宋_GB2312" w:hAnsi="仿宋_GB2312" w:eastAsia="仿宋_GB2312" w:cs="仿宋_GB2312"/>
          <w:b w:val="0"/>
          <w:bCs w:val="0"/>
          <w:color w:val="auto"/>
          <w:sz w:val="32"/>
          <w:szCs w:val="32"/>
          <w:lang w:val="en-US" w:eastAsia="zh-CN"/>
        </w:rPr>
        <w:t>雷电预报和</w:t>
      </w:r>
      <w:r>
        <w:rPr>
          <w:rFonts w:hint="default" w:ascii="仿宋_GB2312" w:hAnsi="仿宋_GB2312" w:eastAsia="仿宋_GB2312" w:cs="仿宋_GB2312"/>
          <w:b w:val="0"/>
          <w:bCs w:val="0"/>
          <w:color w:val="auto"/>
          <w:sz w:val="32"/>
          <w:szCs w:val="32"/>
          <w:lang w:val="en-US" w:eastAsia="zh-CN"/>
        </w:rPr>
        <w:t>预警</w:t>
      </w:r>
      <w:r>
        <w:rPr>
          <w:rFonts w:hint="eastAsia" w:ascii="仿宋_GB2312" w:hAnsi="仿宋_GB2312" w:eastAsia="仿宋_GB2312" w:cs="仿宋_GB2312"/>
          <w:b w:val="0"/>
          <w:bCs w:val="0"/>
          <w:color w:val="auto"/>
          <w:sz w:val="32"/>
          <w:szCs w:val="32"/>
          <w:lang w:val="en-US" w:eastAsia="zh-CN"/>
        </w:rPr>
        <w:t>信号</w:t>
      </w:r>
      <w:r>
        <w:rPr>
          <w:rFonts w:hint="default" w:ascii="仿宋_GB2312" w:hAnsi="仿宋_GB2312" w:eastAsia="仿宋_GB2312" w:cs="仿宋_GB2312"/>
          <w:b w:val="0"/>
          <w:bCs w:val="0"/>
          <w:color w:val="auto"/>
          <w:sz w:val="32"/>
          <w:szCs w:val="32"/>
          <w:lang w:val="en-US" w:eastAsia="zh-CN"/>
        </w:rPr>
        <w:t>后，应当及时采取措施向本辖区公众广泛传播。</w:t>
      </w:r>
    </w:p>
    <w:p w14:paraId="1265DAB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学校、医院、机场、车站、高速公路、旅游景点等公共场所的管理单位应当及时传播雷电预报和预警信号。</w:t>
      </w:r>
    </w:p>
    <w:p w14:paraId="7352CC6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第十条</w:t>
      </w:r>
      <w:r>
        <w:rPr>
          <w:rFonts w:hint="eastAsia" w:ascii="仿宋_GB2312" w:hAnsi="仿宋_GB2312" w:eastAsia="仿宋_GB2312" w:cs="仿宋_GB2312"/>
          <w:b w:val="0"/>
          <w:bCs w:val="0"/>
          <w:color w:val="auto"/>
          <w:sz w:val="32"/>
          <w:szCs w:val="32"/>
          <w:lang w:val="en-US" w:eastAsia="zh-CN"/>
        </w:rPr>
        <w:t xml:space="preserve">  下列工程、场所和项目应当开展雷电灾害风险评估，以确保公共安全：</w:t>
      </w:r>
    </w:p>
    <w:p w14:paraId="2594386F">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（一）大型建设工程、重点工程；</w:t>
      </w:r>
    </w:p>
    <w:p w14:paraId="5291267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（二）油库、气库、弹药库、化学品仓库和烟花爆竹、石化、非煤矿山等爆炸和火灾危险环境场所；</w:t>
      </w:r>
    </w:p>
    <w:p w14:paraId="0587559A">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（三）体育场馆、医院、学校、影剧院、大型城市综合体、机场、车站等人员密集场所；</w:t>
      </w:r>
    </w:p>
    <w:p w14:paraId="3B872B59">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（四）法律、法规规定应当开展雷电灾害风险评估的其他工程、场所和项目。</w:t>
      </w:r>
    </w:p>
    <w:p w14:paraId="731BD326">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仿宋_GB2312" w:hAnsi="仿宋_GB2312" w:eastAsia="仿宋_GB2312" w:cs="仿宋_GB2312"/>
          <w:b w:val="0"/>
          <w:bCs w:val="0"/>
          <w:color w:val="auto"/>
          <w:sz w:val="32"/>
          <w:szCs w:val="32"/>
          <w:lang w:val="en-US" w:eastAsia="zh-CN"/>
        </w:rPr>
        <w:t>市、县（区）</w:t>
      </w:r>
      <w:r>
        <w:rPr>
          <w:rFonts w:hint="eastAsia" w:ascii="仿宋_GB2312" w:hAnsi="仿宋_GB2312" w:eastAsia="仿宋_GB2312" w:cs="仿宋_GB2312"/>
          <w:b w:val="0"/>
          <w:bCs w:val="0"/>
          <w:color w:val="auto"/>
          <w:sz w:val="32"/>
          <w:szCs w:val="32"/>
          <w:lang w:val="en-US" w:eastAsia="zh-CN"/>
        </w:rPr>
        <w:t>气象主管机构按照有关规定组织进行本行政区域内的雷电灾害风险评估工作。</w:t>
      </w:r>
    </w:p>
    <w:p w14:paraId="61BD810C">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第十一条</w:t>
      </w:r>
      <w:r>
        <w:rPr>
          <w:rFonts w:hint="eastAsia" w:ascii="仿宋_GB2312" w:hAnsi="仿宋_GB2312" w:eastAsia="仿宋_GB2312" w:cs="仿宋_GB2312"/>
          <w:b w:val="0"/>
          <w:bCs w:val="0"/>
          <w:color w:val="auto"/>
          <w:sz w:val="32"/>
          <w:szCs w:val="32"/>
          <w:lang w:val="en-US" w:eastAsia="zh-CN"/>
        </w:rPr>
        <w:t xml:space="preserve">  下列建（构）筑物、场所和设施应当安装雷电防护装置：</w:t>
      </w:r>
    </w:p>
    <w:p w14:paraId="6CCED4F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（一）建筑物防雷设计规范规定的一、二、三类防雷建（构）筑物；</w:t>
      </w:r>
    </w:p>
    <w:p w14:paraId="4A45FE7A">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（二）石油、燃气、烟花爆竹等易燃易爆物品的生产、储存等场所，以及粉尘爆炸危险场所；</w:t>
      </w:r>
    </w:p>
    <w:p w14:paraId="19ECE59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（三）重要的计算机设备和网络系统；</w:t>
      </w:r>
    </w:p>
    <w:p w14:paraId="15E742A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（四）通信设施、广播电视系统；</w:t>
      </w:r>
    </w:p>
    <w:p w14:paraId="5F37A31B">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（五）电力生产设施和输配电系统；</w:t>
      </w:r>
    </w:p>
    <w:p w14:paraId="07E1FA1D">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（六）雷电易发区内的矿区、旅游景区的建(构)筑物、设施；</w:t>
      </w:r>
    </w:p>
    <w:p w14:paraId="08FED91B">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（七）露天大型娱乐设施；</w:t>
      </w:r>
    </w:p>
    <w:p w14:paraId="55329F89">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（八）法律、法规规定应当安装雷电防护装置的其他场所和设施。</w:t>
      </w:r>
    </w:p>
    <w:p w14:paraId="2060AA20">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前款规定范围以外的场所和设施，根据雷电灾害防御安全的需要，可以安装雷电防护装置。</w:t>
      </w:r>
    </w:p>
    <w:p w14:paraId="427DA8C0">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第十二条</w:t>
      </w:r>
      <w:r>
        <w:rPr>
          <w:rFonts w:hint="eastAsia" w:ascii="仿宋_GB2312" w:hAnsi="仿宋_GB2312" w:eastAsia="仿宋_GB2312" w:cs="仿宋_GB2312"/>
          <w:b w:val="0"/>
          <w:bCs w:val="0"/>
          <w:color w:val="auto"/>
          <w:sz w:val="32"/>
          <w:szCs w:val="32"/>
          <w:lang w:val="en-US" w:eastAsia="zh-CN"/>
        </w:rPr>
        <w:t>　文物建筑雷电防护装置的设计、安装、检测和维护，应当按照国家有关文物建筑防雷工程技术标准和规范执行。</w:t>
      </w:r>
    </w:p>
    <w:p w14:paraId="20329EF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气象主管机构应当会同文物主管部门，按照各自职责，加强对文物建筑防雷安全的技术指导和监督检查。</w:t>
      </w:r>
    </w:p>
    <w:p w14:paraId="49090DA6">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本市行政区域内华严寺、悬空寺以及其他古建筑类文物保护单位的所有人、管理人或者使用人，应当根据其文物保护级别和雷电风险等级，按照国家有关标准确定防雷等级，安装符合国家标准的雷电防护装置。</w:t>
      </w:r>
    </w:p>
    <w:p w14:paraId="542B1829">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第十三条</w:t>
      </w:r>
      <w:r>
        <w:rPr>
          <w:rFonts w:hint="eastAsia" w:ascii="仿宋_GB2312" w:hAnsi="仿宋_GB2312" w:eastAsia="仿宋_GB2312" w:cs="仿宋_GB2312"/>
          <w:b w:val="0"/>
          <w:bCs w:val="0"/>
          <w:color w:val="auto"/>
          <w:sz w:val="32"/>
          <w:szCs w:val="32"/>
          <w:lang w:val="en-US" w:eastAsia="zh-CN"/>
        </w:rPr>
        <w:t xml:space="preserve">  新建、改建、扩建建筑物、场所和设施的雷电防护装置应当与主体工程同时设计、同时施工、同时投入使用。</w:t>
      </w:r>
    </w:p>
    <w:p w14:paraId="1466AD6D">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新建、改建、扩建建设工程雷电防护装置的设计、施工，可由取得相应建设、公路、水路、铁路、民航、水利、电力、核电、通信等专业工程设计、施工资质的单位承担。</w:t>
      </w:r>
    </w:p>
    <w:p w14:paraId="5E6BF500">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第十四条</w:t>
      </w:r>
      <w:r>
        <w:rPr>
          <w:rFonts w:hint="eastAsia" w:ascii="仿宋_GB2312" w:hAnsi="仿宋_GB2312" w:eastAsia="仿宋_GB2312" w:cs="仿宋_GB2312"/>
          <w:b w:val="0"/>
          <w:bCs w:val="0"/>
          <w:color w:val="auto"/>
          <w:sz w:val="32"/>
          <w:szCs w:val="32"/>
          <w:lang w:val="en-US" w:eastAsia="zh-CN"/>
        </w:rPr>
        <w:t>　以下场所、项目未经设计审核或者设计审核不合格的，不得施工；未经竣工验收或者竣工验收不合格的，不得交付使用：</w:t>
      </w:r>
    </w:p>
    <w:p w14:paraId="579894E2">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（一）油库、气库、弹药库、化学品仓库和烟花爆竹、石化等易燃易爆建设工程和场所；</w:t>
      </w:r>
    </w:p>
    <w:p w14:paraId="29F2F8BF">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bookmarkStart w:id="0" w:name="tiao_18_kuan_1_xiang_2"/>
      <w:bookmarkEnd w:id="0"/>
      <w:r>
        <w:rPr>
          <w:rFonts w:hint="eastAsia" w:ascii="仿宋_GB2312" w:hAnsi="仿宋_GB2312" w:eastAsia="仿宋_GB2312" w:cs="仿宋_GB2312"/>
          <w:b w:val="0"/>
          <w:bCs w:val="0"/>
          <w:color w:val="auto"/>
          <w:sz w:val="32"/>
          <w:szCs w:val="32"/>
          <w:lang w:val="en-US" w:eastAsia="zh-CN"/>
        </w:rPr>
        <w:t>（二）雷电易发区内的矿区、旅游景点或者投入使用的建（构）筑物、设施等需要单独安装雷电防护装置的场所；</w:t>
      </w:r>
    </w:p>
    <w:p w14:paraId="5B61E902">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bookmarkStart w:id="1" w:name="tiao_18_kuan_1_xiang_3"/>
      <w:bookmarkEnd w:id="1"/>
      <w:r>
        <w:rPr>
          <w:rFonts w:hint="eastAsia" w:ascii="仿宋_GB2312" w:hAnsi="仿宋_GB2312" w:eastAsia="仿宋_GB2312" w:cs="仿宋_GB2312"/>
          <w:b w:val="0"/>
          <w:bCs w:val="0"/>
          <w:color w:val="auto"/>
          <w:sz w:val="32"/>
          <w:szCs w:val="32"/>
          <w:lang w:val="en-US" w:eastAsia="zh-CN"/>
        </w:rPr>
        <w:t>（三）雷电风险高且没有防雷标准规范、需要进行特殊论证的大型项目。</w:t>
      </w:r>
    </w:p>
    <w:p w14:paraId="244B9A45">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房屋建筑、市政基础设施、公路、水路、铁路、民航、水利、电力、核电、通信等建设工程的主管部门，负责相应领域内建设工程的防雷管理。</w:t>
      </w:r>
    </w:p>
    <w:p w14:paraId="4F5E8467">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第十五条</w:t>
      </w:r>
      <w:r>
        <w:rPr>
          <w:rFonts w:hint="eastAsia" w:ascii="仿宋_GB2312" w:hAnsi="仿宋_GB2312" w:eastAsia="仿宋_GB2312" w:cs="仿宋_GB2312"/>
          <w:b w:val="0"/>
          <w:bCs w:val="0"/>
          <w:color w:val="auto"/>
          <w:sz w:val="32"/>
          <w:szCs w:val="32"/>
          <w:lang w:val="en-US" w:eastAsia="zh-CN"/>
        </w:rPr>
        <w:t>　投入使用后的雷电防护装置实行定期检测制度。雷电防护装置应当每年检测一次，对爆炸和火灾危险环境场所的雷电防护装置应当每半年检测一次。</w:t>
      </w:r>
    </w:p>
    <w:p w14:paraId="26F1566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雷电防护装置所有权人或者受托人应当委托具备相应资质的雷电防护装置检测单位进行定期检测，并做好日常维护工作。发现雷电防护装置存在隐患时，应当及时采取措施进行处理。</w:t>
      </w:r>
    </w:p>
    <w:p w14:paraId="718D857B">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住宅小区的雷电防护装置的检测、维修费用，按照国家和本省有关规定从住宅专项维修资金中列支。</w:t>
      </w:r>
    </w:p>
    <w:p w14:paraId="5AE4A5DF">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第十六条</w:t>
      </w:r>
      <w:r>
        <w:rPr>
          <w:rFonts w:hint="eastAsia" w:ascii="仿宋_GB2312" w:hAnsi="仿宋_GB2312" w:eastAsia="仿宋_GB2312" w:cs="仿宋_GB2312"/>
          <w:b w:val="0"/>
          <w:bCs w:val="0"/>
          <w:color w:val="auto"/>
          <w:sz w:val="32"/>
          <w:szCs w:val="32"/>
          <w:lang w:val="en-US" w:eastAsia="zh-CN"/>
        </w:rPr>
        <w:t>　遭受雷电灾害的组织和个人，应当及时向当地气象主管机构报告雷电灾情。气象主管机构收到雷电灾情报告后，应当组织开展雷电灾害调查、鉴定工作，其他有关部门和单位应当配合做好雷电灾害调查、鉴定工作。</w:t>
      </w:r>
    </w:p>
    <w:p w14:paraId="0F88EA94">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市、县（区）气象主管机构应当及时向当地人民政府和上级气象主管机构上报本行政区域内的重大雷电灾情和年度雷电灾害情况。</w:t>
      </w:r>
    </w:p>
    <w:p w14:paraId="4607260B">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1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第十七条</w:t>
      </w:r>
      <w:r>
        <w:rPr>
          <w:rFonts w:hint="eastAsia" w:ascii="仿宋_GB2312" w:hAnsi="仿宋_GB2312" w:eastAsia="仿宋_GB2312" w:cs="仿宋_GB2312"/>
          <w:b w:val="0"/>
          <w:bCs w:val="0"/>
          <w:color w:val="auto"/>
          <w:kern w:val="2"/>
          <w:sz w:val="32"/>
          <w:szCs w:val="32"/>
          <w:lang w:val="en-US" w:eastAsia="zh-CN" w:bidi="ar-SA"/>
        </w:rPr>
        <w:t xml:space="preserve">  </w:t>
      </w:r>
      <w:r>
        <w:rPr>
          <w:rFonts w:hint="eastAsia" w:ascii="仿宋_GB2312" w:hAnsi="仿宋_GB2312" w:eastAsia="仿宋_GB2312" w:cs="仿宋_GB2312"/>
          <w:b w:val="0"/>
          <w:bCs w:val="0"/>
          <w:color w:val="auto"/>
          <w:sz w:val="32"/>
          <w:szCs w:val="32"/>
          <w:lang w:val="en-US" w:eastAsia="zh-CN"/>
        </w:rPr>
        <w:t>因雷电灾害引发生产安全事故的，市、县（区）人民政府应当依法组织调查处理，有关部门应当按照职责做好雷电灾害应急处置和善后工作。</w:t>
      </w:r>
    </w:p>
    <w:p w14:paraId="351060E3">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1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第十八条</w:t>
      </w:r>
      <w:r>
        <w:rPr>
          <w:rFonts w:hint="eastAsia" w:ascii="仿宋_GB2312" w:hAnsi="仿宋_GB2312" w:eastAsia="仿宋_GB2312" w:cs="仿宋_GB2312"/>
          <w:b w:val="0"/>
          <w:bCs w:val="0"/>
          <w:color w:val="auto"/>
          <w:kern w:val="2"/>
          <w:sz w:val="32"/>
          <w:szCs w:val="32"/>
          <w:lang w:val="en-US" w:eastAsia="zh-CN" w:bidi="ar-SA"/>
        </w:rPr>
        <w:t xml:space="preserve">  </w:t>
      </w:r>
      <w:r>
        <w:rPr>
          <w:rFonts w:hint="eastAsia" w:ascii="仿宋_GB2312" w:hAnsi="仿宋_GB2312" w:eastAsia="仿宋_GB2312" w:cs="仿宋_GB2312"/>
          <w:b w:val="0"/>
          <w:bCs w:val="0"/>
          <w:color w:val="auto"/>
          <w:sz w:val="32"/>
          <w:szCs w:val="32"/>
          <w:lang w:val="en-US" w:eastAsia="zh-CN"/>
        </w:rPr>
        <w:t>市、县（区）人民政府应当组织气象主管机构和教育、住房城乡建设、交通运输、文化和旅游、应急管理、市场监督管理等有关部门建立健全协同监管和联合执法机制，及时查处违法行为，消除安全隐患。</w:t>
      </w:r>
    </w:p>
    <w:p w14:paraId="3C7A7BE4">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1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第十九条</w:t>
      </w:r>
      <w:r>
        <w:rPr>
          <w:rFonts w:hint="eastAsia" w:ascii="仿宋_GB2312" w:hAnsi="仿宋_GB2312" w:eastAsia="仿宋_GB2312" w:cs="仿宋_GB2312"/>
          <w:b w:val="0"/>
          <w:bCs w:val="0"/>
          <w:color w:val="auto"/>
          <w:kern w:val="2"/>
          <w:sz w:val="32"/>
          <w:szCs w:val="32"/>
          <w:lang w:val="en-US" w:eastAsia="zh-CN" w:bidi="ar-SA"/>
        </w:rPr>
        <w:t xml:space="preserve">  </w:t>
      </w:r>
      <w:r>
        <w:rPr>
          <w:rFonts w:hint="eastAsia" w:ascii="仿宋_GB2312" w:hAnsi="仿宋_GB2312" w:eastAsia="仿宋_GB2312" w:cs="仿宋_GB2312"/>
          <w:b w:val="0"/>
          <w:bCs w:val="0"/>
          <w:color w:val="auto"/>
          <w:sz w:val="32"/>
          <w:szCs w:val="32"/>
          <w:lang w:val="en-US" w:eastAsia="zh-CN"/>
        </w:rPr>
        <w:t>违反本办法规定，导致雷击造成火灾、爆炸、人员伤亡以及国家财产重大损失的，依法给予处分；构成犯罪的，依法追究刑事责任。</w:t>
      </w:r>
    </w:p>
    <w:p w14:paraId="60673BB0">
      <w:pPr>
        <w:keepNext w:val="0"/>
        <w:keepLines w:val="0"/>
        <w:pageBreakBefore w:val="0"/>
        <w:widowControl w:val="0"/>
        <w:numPr>
          <w:ilvl w:val="0"/>
          <w:numId w:val="0"/>
        </w:numPr>
        <w:kinsoku/>
        <w:wordWrap/>
        <w:overflowPunct/>
        <w:topLinePunct w:val="0"/>
        <w:autoSpaceDE/>
        <w:autoSpaceDN/>
        <w:bidi w:val="0"/>
        <w:adjustRightInd w:val="0"/>
        <w:snapToGrid w:val="0"/>
        <w:spacing w:before="0" w:after="157" w:afterLines="50" w:line="560" w:lineRule="exact"/>
        <w:ind w:left="-10" w:leftChars="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国标黑体" w:hAnsi="国标黑体" w:eastAsia="国标黑体" w:cs="国标黑体"/>
          <w:b w:val="0"/>
          <w:bCs/>
          <w:kern w:val="44"/>
          <w:sz w:val="32"/>
          <w:szCs w:val="32"/>
          <w:lang w:val="en-US" w:eastAsia="zh-CN"/>
        </w:rPr>
        <w:t>第二十条</w:t>
      </w:r>
      <w:r>
        <w:rPr>
          <w:rFonts w:hint="eastAsia" w:ascii="仿宋_GB2312" w:hAnsi="仿宋_GB2312" w:eastAsia="仿宋_GB2312" w:cs="仿宋_GB2312"/>
          <w:b w:val="0"/>
          <w:bCs w:val="0"/>
          <w:color w:val="auto"/>
          <w:kern w:val="2"/>
          <w:sz w:val="32"/>
          <w:szCs w:val="32"/>
          <w:lang w:val="en-US" w:eastAsia="zh-CN" w:bidi="ar-SA"/>
        </w:rPr>
        <w:t xml:space="preserve">  </w:t>
      </w:r>
      <w:r>
        <w:rPr>
          <w:rFonts w:hint="eastAsia" w:ascii="仿宋_GB2312" w:hAnsi="仿宋_GB2312" w:eastAsia="仿宋_GB2312" w:cs="仿宋_GB2312"/>
          <w:b w:val="0"/>
          <w:bCs w:val="0"/>
          <w:color w:val="auto"/>
          <w:sz w:val="32"/>
          <w:szCs w:val="32"/>
          <w:lang w:val="en-US" w:eastAsia="zh-CN"/>
        </w:rPr>
        <w:t>本办法自2026年×月×日起施行。</w:t>
      </w:r>
    </w:p>
    <w:p w14:paraId="07B7EC7E">
      <w:pPr>
        <w:pStyle w:val="2"/>
        <w:rPr>
          <w:rFonts w:hint="eastAsia"/>
          <w:lang w:val="en-US" w:eastAsia="zh-CN"/>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pStyle w:val="6"/>
      <w:suff w:val="nothing"/>
      <w:lvlText w:val="（%1）"/>
      <w:lvlJc w:val="left"/>
      <w:pPr>
        <w:ind w:left="0" w:firstLine="420"/>
      </w:pPr>
      <w:rPr>
        <w:rFonts w:hint="eastAsia"/>
      </w:rPr>
    </w:lvl>
  </w:abstractNum>
  <w:abstractNum w:abstractNumId="1">
    <w:nsid w:val="00000001"/>
    <w:multiLevelType w:val="singleLevel"/>
    <w:tmpl w:val="00000001"/>
    <w:lvl w:ilvl="0" w:tentative="0">
      <w:start w:val="1"/>
      <w:numFmt w:val="chineseCounting"/>
      <w:pStyle w:val="5"/>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zZTgyN2QzZTBiYTE4ODFkMjQxOTlkNjMwNGY2N2YifQ=="/>
  </w:docVars>
  <w:rsids>
    <w:rsidRoot w:val="00000000"/>
    <w:rsid w:val="064D3A6F"/>
    <w:rsid w:val="065A1D10"/>
    <w:rsid w:val="09CF2703"/>
    <w:rsid w:val="16FF5913"/>
    <w:rsid w:val="1F9F7C2B"/>
    <w:rsid w:val="3AFC2999"/>
    <w:rsid w:val="428B7191"/>
    <w:rsid w:val="430E67C6"/>
    <w:rsid w:val="4DBE871E"/>
    <w:rsid w:val="50A14F3E"/>
    <w:rsid w:val="550B491A"/>
    <w:rsid w:val="62ED5E66"/>
    <w:rsid w:val="67DC5B6A"/>
    <w:rsid w:val="6AB90241"/>
    <w:rsid w:val="7090661A"/>
    <w:rsid w:val="70E04C56"/>
    <w:rsid w:val="71695B67"/>
    <w:rsid w:val="77782BF0"/>
    <w:rsid w:val="7BEF67CE"/>
    <w:rsid w:val="8FEB1B15"/>
    <w:rsid w:val="DEEF06CF"/>
    <w:rsid w:val="FD2D9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0" w:firstLineChars="0"/>
      <w:jc w:val="both"/>
    </w:pPr>
    <w:rPr>
      <w:rFonts w:ascii="仿宋_GB2312" w:hAnsi="仿宋_GB2312" w:eastAsia="仿宋_GB2312" w:cs="宋体"/>
      <w:kern w:val="2"/>
      <w:sz w:val="32"/>
      <w:szCs w:val="22"/>
      <w:lang w:val="en-US" w:eastAsia="zh-CN" w:bidi="ar-SA"/>
    </w:rPr>
  </w:style>
  <w:style w:type="paragraph" w:styleId="5">
    <w:name w:val="heading 1"/>
    <w:basedOn w:val="1"/>
    <w:next w:val="1"/>
    <w:qFormat/>
    <w:uiPriority w:val="0"/>
    <w:pPr>
      <w:keepNext/>
      <w:keepLines/>
      <w:numPr>
        <w:ilvl w:val="0"/>
        <w:numId w:val="1"/>
      </w:numPr>
      <w:spacing w:beforeAutospacing="0" w:afterAutospacing="0" w:line="560" w:lineRule="exact"/>
      <w:ind w:firstLine="880" w:firstLineChars="200"/>
      <w:outlineLvl w:val="0"/>
    </w:pPr>
    <w:rPr>
      <w:rFonts w:eastAsia="黑体"/>
      <w:kern w:val="44"/>
    </w:rPr>
  </w:style>
  <w:style w:type="paragraph" w:styleId="6">
    <w:name w:val="heading 2"/>
    <w:basedOn w:val="1"/>
    <w:next w:val="1"/>
    <w:link w:val="13"/>
    <w:qFormat/>
    <w:uiPriority w:val="0"/>
    <w:pPr>
      <w:keepNext/>
      <w:widowControl/>
      <w:numPr>
        <w:ilvl w:val="0"/>
        <w:numId w:val="2"/>
      </w:numPr>
      <w:jc w:val="left"/>
      <w:outlineLvl w:val="1"/>
    </w:pPr>
    <w:rPr>
      <w:rFonts w:ascii="Calibri Light" w:hAnsi="Calibri Light" w:eastAsia="楷体_GB2312" w:cs="宋体"/>
      <w:bCs/>
      <w:iCs/>
      <w:kern w:val="0"/>
      <w:szCs w:val="28"/>
    </w:rPr>
  </w:style>
  <w:style w:type="character" w:default="1" w:styleId="11">
    <w:name w:val="Default Paragraph Font"/>
    <w:qFormat/>
    <w:uiPriority w:val="1"/>
  </w:style>
  <w:style w:type="table" w:default="1" w:styleId="9">
    <w:name w:val="Normal Table"/>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120" w:line="240" w:lineRule="auto"/>
      <w:ind w:left="420" w:leftChars="200" w:firstLine="420" w:firstLineChars="200"/>
    </w:pPr>
    <w:rPr>
      <w:rFonts w:ascii="Calibri" w:hAnsi="Calibri" w:eastAsia="宋体"/>
      <w:sz w:val="21"/>
      <w:szCs w:val="24"/>
    </w:rPr>
  </w:style>
  <w:style w:type="paragraph" w:styleId="3">
    <w:name w:val="Body Text Indent"/>
    <w:basedOn w:val="1"/>
    <w:qFormat/>
    <w:uiPriority w:val="0"/>
    <w:pPr>
      <w:spacing w:line="540" w:lineRule="exact"/>
      <w:ind w:firstLine="630"/>
    </w:pPr>
    <w:rPr>
      <w:rFonts w:eastAsia="仿宋_GB2312"/>
      <w:sz w:val="30"/>
      <w:szCs w:val="20"/>
    </w:rPr>
  </w:style>
  <w:style w:type="paragraph" w:customStyle="1" w:styleId="4">
    <w:name w:val="Default"/>
    <w:unhideWhenUsed/>
    <w:qFormat/>
    <w:uiPriority w:val="0"/>
    <w:pPr>
      <w:widowControl w:val="0"/>
      <w:autoSpaceDE w:val="0"/>
      <w:autoSpaceDN w:val="0"/>
      <w:adjustRightInd w:val="0"/>
    </w:pPr>
    <w:rPr>
      <w:rFonts w:hint="eastAsia" w:ascii="宋体" w:hAnsi="Times New Roman" w:eastAsia="宋体" w:cs="Times New Roman"/>
      <w:color w:val="000000"/>
      <w:sz w:val="24"/>
      <w:szCs w:val="24"/>
      <w:lang w:val="en-US" w:eastAsia="zh-CN"/>
    </w:rPr>
  </w:style>
  <w:style w:type="paragraph" w:styleId="7">
    <w:name w:val="Normal Indent"/>
    <w:basedOn w:val="1"/>
    <w:qFormat/>
    <w:uiPriority w:val="0"/>
    <w:pPr>
      <w:widowControl/>
      <w:snapToGrid w:val="0"/>
      <w:spacing w:line="360" w:lineRule="auto"/>
    </w:pPr>
    <w:rPr>
      <w:rFonts w:ascii="宋体"/>
      <w:kern w:val="0"/>
      <w:sz w:val="28"/>
      <w:szCs w:val="28"/>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qFormat/>
    <w:uiPriority w:val="0"/>
    <w:rPr>
      <w:color w:val="0000FF"/>
      <w:u w:val="single"/>
    </w:rPr>
  </w:style>
  <w:style w:type="character" w:customStyle="1" w:styleId="13">
    <w:name w:val="标题 2 Char"/>
    <w:basedOn w:val="11"/>
    <w:link w:val="6"/>
    <w:qFormat/>
    <w:uiPriority w:val="9"/>
    <w:rPr>
      <w:rFonts w:ascii="Calibri Light" w:hAnsi="Calibri Light" w:eastAsia="楷体_GB2312" w:cs="宋体"/>
      <w:bCs/>
      <w:iCs/>
      <w:kern w:val="0"/>
      <w:sz w:val="32"/>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704</Words>
  <Characters>750</Characters>
  <Paragraphs>32</Paragraphs>
  <TotalTime>8</TotalTime>
  <ScaleCrop>false</ScaleCrop>
  <LinksUpToDate>false</LinksUpToDate>
  <CharactersWithSpaces>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2021-07-31T08:19:00Z</dcterms:created>
  <dc:creator>hxy12</dc:creator>
  <cp:lastModifiedBy>子淼</cp:lastModifiedBy>
  <cp:lastPrinted>2026-09-21T10:01:00Z</cp:lastPrinted>
  <dcterms:modified xsi:type="dcterms:W3CDTF">2026-09-21T08:58:38Z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30284A999B104E6EB9EB0CE6E701DC6B_13</vt:lpwstr>
  </property>
  <property fmtid="{D5CDD505-2E9C-101B-9397-08002B2CF9AE}" pid="4" name="KSOTemplateDocerSaveRecord">
    <vt:lpwstr>eyJoZGlkIjoiOGM5MWI3MTg2MWZjNDcyMTcxNzg4MWY4YmU3NDljYzkiLCJ1c2VySWQiOiI2NzI4MDkzMjYifQ==</vt:lpwstr>
  </property>
</Properties>
</file>