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sz w:val="32"/>
          <w:szCs w:val="32"/>
        </w:rPr>
      </w:pPr>
      <w:r>
        <w:rPr>
          <w:rFonts w:hint="eastAsia" w:ascii="黑体" w:hAnsi="黑体" w:eastAsia="黑体" w:cs="黑体"/>
          <w:sz w:val="32"/>
          <w:szCs w:val="32"/>
        </w:rPr>
        <w:t>附件1</w:t>
      </w:r>
    </w:p>
    <w:p>
      <w:pPr>
        <w:jc w:val="center"/>
        <w:rPr>
          <w:rFonts w:hint="eastAsia" w:ascii="仿宋" w:hAnsi="仿宋" w:eastAsia="仿宋"/>
          <w:sz w:val="32"/>
          <w:szCs w:val="32"/>
        </w:rPr>
      </w:pPr>
      <w:r>
        <w:rPr>
          <w:rFonts w:hint="eastAsia" w:ascii="仿宋" w:hAnsi="仿宋" w:eastAsia="仿宋"/>
          <w:sz w:val="32"/>
          <w:szCs w:val="32"/>
        </w:rPr>
        <w:t xml:space="preserve"> </w:t>
      </w:r>
    </w:p>
    <w:p>
      <w:pPr>
        <w:ind w:left="0" w:leftChars="0" w:firstLine="0" w:firstLineChars="0"/>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lang w:val="en-US" w:eastAsia="zh-CN"/>
        </w:rPr>
        <w:t>大同市第二十一中学校</w:t>
      </w:r>
      <w:r>
        <w:rPr>
          <w:rFonts w:hint="eastAsia" w:ascii="华文中宋" w:hAnsi="华文中宋" w:eastAsia="华文中宋" w:cs="华文中宋"/>
          <w:sz w:val="44"/>
          <w:szCs w:val="44"/>
        </w:rPr>
        <w:t>2022年度</w:t>
      </w:r>
    </w:p>
    <w:p>
      <w:pPr>
        <w:ind w:left="0" w:leftChars="0" w:firstLine="0" w:firstLineChars="0"/>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rPr>
        <w:t>单位预算</w:t>
      </w:r>
    </w:p>
    <w:p>
      <w:pPr>
        <w:jc w:val="center"/>
        <w:rPr>
          <w:rFonts w:hint="eastAsia" w:ascii="仿宋" w:hAnsi="仿宋" w:eastAsia="仿宋"/>
          <w:sz w:val="32"/>
          <w:szCs w:val="32"/>
        </w:rPr>
      </w:pPr>
      <w:bookmarkStart w:id="21" w:name="_GoBack"/>
      <w:bookmarkEnd w:id="21"/>
    </w:p>
    <w:p>
      <w:pPr>
        <w:jc w:val="center"/>
        <w:rPr>
          <w:rFonts w:hint="eastAsia" w:ascii="黑体" w:hAnsi="黑体" w:eastAsia="黑体"/>
          <w:sz w:val="36"/>
          <w:szCs w:val="36"/>
        </w:rPr>
      </w:pPr>
      <w:r>
        <w:rPr>
          <w:rFonts w:hint="eastAsia" w:ascii="黑体" w:hAnsi="黑体" w:eastAsia="黑体"/>
          <w:sz w:val="36"/>
          <w:szCs w:val="36"/>
        </w:rPr>
        <w:t>目    录</w:t>
      </w:r>
    </w:p>
    <w:p>
      <w:pPr>
        <w:jc w:val="center"/>
        <w:rPr>
          <w:rFonts w:hint="eastAsia" w:ascii="仿宋" w:hAnsi="仿宋" w:eastAsia="仿宋"/>
          <w:sz w:val="32"/>
          <w:szCs w:val="32"/>
        </w:rPr>
      </w:pPr>
    </w:p>
    <w:p>
      <w:pPr>
        <w:pStyle w:val="6"/>
        <w:tabs>
          <w:tab w:val="right" w:leader="dot" w:pos="8306"/>
        </w:tabs>
        <w:ind w:left="0" w:leftChars="0" w:firstLine="0" w:firstLineChars="0"/>
      </w:pPr>
      <w:r>
        <w:rPr>
          <w:rFonts w:hint="eastAsia" w:ascii="仿宋_GB2312" w:hAnsi="仿宋_GB2312" w:eastAsia="仿宋_GB2312" w:cs="仿宋_GB2312"/>
          <w:sz w:val="40"/>
          <w:szCs w:val="40"/>
        </w:rPr>
        <w:fldChar w:fldCharType="begin"/>
      </w:r>
      <w:r>
        <w:rPr>
          <w:rFonts w:hint="eastAsia" w:ascii="仿宋_GB2312" w:hAnsi="仿宋_GB2312" w:eastAsia="仿宋_GB2312" w:cs="仿宋_GB2312"/>
          <w:sz w:val="40"/>
          <w:szCs w:val="40"/>
        </w:rPr>
        <w:instrText xml:space="preserve">TOC \o "1-2" \h \u </w:instrText>
      </w:r>
      <w:r>
        <w:rPr>
          <w:rFonts w:hint="eastAsia" w:ascii="仿宋_GB2312" w:hAnsi="仿宋_GB2312" w:eastAsia="仿宋_GB2312" w:cs="仿宋_GB2312"/>
          <w:sz w:val="40"/>
          <w:szCs w:val="40"/>
        </w:rPr>
        <w:fldChar w:fldCharType="separate"/>
      </w:r>
      <w:r>
        <w:rPr>
          <w:rFonts w:hint="eastAsia" w:ascii="黑体" w:hAnsi="黑体" w:eastAsia="黑体" w:cs="黑体"/>
          <w:szCs w:val="40"/>
        </w:rPr>
        <w:fldChar w:fldCharType="begin"/>
      </w:r>
      <w:r>
        <w:rPr>
          <w:rFonts w:hint="eastAsia" w:ascii="黑体" w:hAnsi="黑体" w:eastAsia="黑体" w:cs="黑体"/>
          <w:szCs w:val="40"/>
        </w:rPr>
        <w:instrText xml:space="preserve"> HYPERLINK \l _Toc8766 </w:instrText>
      </w:r>
      <w:r>
        <w:rPr>
          <w:rFonts w:hint="eastAsia" w:ascii="黑体" w:hAnsi="黑体" w:eastAsia="黑体" w:cs="黑体"/>
          <w:szCs w:val="40"/>
        </w:rPr>
        <w:fldChar w:fldCharType="separate"/>
      </w:r>
      <w:r>
        <w:rPr>
          <w:rFonts w:hint="eastAsia" w:ascii="黑体" w:hAnsi="黑体" w:eastAsia="黑体" w:cs="黑体"/>
        </w:rPr>
        <w:t>第一部分  概况</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_Toc8766 \h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r>
        <w:rPr>
          <w:rFonts w:hint="eastAsia" w:ascii="黑体" w:hAnsi="黑体" w:eastAsia="黑体" w:cs="黑体"/>
          <w:szCs w:val="40"/>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_Toc30926 </w:instrText>
      </w:r>
      <w:r>
        <w:rPr>
          <w:rFonts w:hint="eastAsia" w:ascii="仿宋_GB2312" w:hAnsi="仿宋_GB2312" w:eastAsia="仿宋_GB2312" w:cs="仿宋_GB2312"/>
          <w:szCs w:val="36"/>
        </w:rPr>
        <w:fldChar w:fldCharType="separate"/>
      </w:r>
      <w:r>
        <w:rPr>
          <w:rFonts w:hint="eastAsia"/>
        </w:rPr>
        <w:t>一、大同市第二十</w:t>
      </w:r>
      <w:r>
        <w:rPr>
          <w:rFonts w:hint="eastAsia"/>
          <w:lang w:val="en-US" w:eastAsia="zh-CN"/>
        </w:rPr>
        <w:t>一</w:t>
      </w:r>
      <w:r>
        <w:rPr>
          <w:rFonts w:hint="eastAsia"/>
        </w:rPr>
        <w:t>中学校2022年预算收支总表</w:t>
      </w:r>
      <w:r>
        <w:tab/>
      </w:r>
      <w:r>
        <w:fldChar w:fldCharType="begin"/>
      </w:r>
      <w:r>
        <w:instrText xml:space="preserve"> PAGEREF _Toc30926 \h </w:instrText>
      </w:r>
      <w:r>
        <w:fldChar w:fldCharType="separate"/>
      </w:r>
      <w:r>
        <w:t>2</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_Toc4386 </w:instrText>
      </w:r>
      <w:r>
        <w:rPr>
          <w:rFonts w:hint="eastAsia" w:ascii="仿宋_GB2312" w:hAnsi="仿宋_GB2312" w:eastAsia="仿宋_GB2312" w:cs="仿宋_GB2312"/>
          <w:szCs w:val="36"/>
        </w:rPr>
        <w:fldChar w:fldCharType="separate"/>
      </w:r>
      <w:r>
        <w:rPr>
          <w:rFonts w:hint="eastAsia"/>
        </w:rPr>
        <w:t>二、 大同市第二十</w:t>
      </w:r>
      <w:r>
        <w:rPr>
          <w:rFonts w:hint="eastAsia"/>
          <w:lang w:val="en-US" w:eastAsia="zh-CN"/>
        </w:rPr>
        <w:t>一</w:t>
      </w:r>
      <w:r>
        <w:rPr>
          <w:rFonts w:hint="eastAsia"/>
        </w:rPr>
        <w:t>中学校2022年预算收入总表</w:t>
      </w:r>
      <w:r>
        <w:tab/>
      </w:r>
      <w:r>
        <w:fldChar w:fldCharType="begin"/>
      </w:r>
      <w:r>
        <w:instrText xml:space="preserve"> PAGEREF _Toc4386 \h </w:instrText>
      </w:r>
      <w:r>
        <w:fldChar w:fldCharType="separate"/>
      </w:r>
      <w:r>
        <w:t>3</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_Toc29132 </w:instrText>
      </w:r>
      <w:r>
        <w:rPr>
          <w:rFonts w:hint="eastAsia" w:ascii="仿宋_GB2312" w:hAnsi="仿宋_GB2312" w:eastAsia="仿宋_GB2312" w:cs="仿宋_GB2312"/>
          <w:szCs w:val="36"/>
        </w:rPr>
        <w:fldChar w:fldCharType="separate"/>
      </w:r>
      <w:r>
        <w:rPr>
          <w:rFonts w:hint="eastAsia"/>
        </w:rPr>
        <w:t>三、大同市第二十</w:t>
      </w:r>
      <w:r>
        <w:rPr>
          <w:rFonts w:hint="eastAsia"/>
          <w:lang w:val="en-US" w:eastAsia="zh-CN"/>
        </w:rPr>
        <w:t>一</w:t>
      </w:r>
      <w:r>
        <w:rPr>
          <w:rFonts w:hint="eastAsia"/>
        </w:rPr>
        <w:t>中学校2022年预算支出总表</w:t>
      </w:r>
      <w:r>
        <w:tab/>
      </w:r>
      <w:r>
        <w:fldChar w:fldCharType="begin"/>
      </w:r>
      <w:r>
        <w:instrText xml:space="preserve"> PAGEREF _Toc29132 \h </w:instrText>
      </w:r>
      <w:r>
        <w:fldChar w:fldCharType="separate"/>
      </w:r>
      <w:r>
        <w:t>4</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_Toc6608 </w:instrText>
      </w:r>
      <w:r>
        <w:rPr>
          <w:rFonts w:hint="eastAsia" w:ascii="仿宋_GB2312" w:hAnsi="仿宋_GB2312" w:eastAsia="仿宋_GB2312" w:cs="仿宋_GB2312"/>
          <w:szCs w:val="36"/>
        </w:rPr>
        <w:fldChar w:fldCharType="separate"/>
      </w:r>
      <w:r>
        <w:rPr>
          <w:rFonts w:hint="eastAsia"/>
        </w:rPr>
        <w:t>四、大同市第二十</w:t>
      </w:r>
      <w:r>
        <w:rPr>
          <w:rFonts w:hint="eastAsia"/>
          <w:lang w:val="en-US" w:eastAsia="zh-CN"/>
        </w:rPr>
        <w:t>一</w:t>
      </w:r>
      <w:r>
        <w:rPr>
          <w:rFonts w:hint="eastAsia"/>
        </w:rPr>
        <w:t>中学校2022年财政拨款收支总表</w:t>
      </w:r>
      <w:r>
        <w:tab/>
      </w:r>
      <w:r>
        <w:fldChar w:fldCharType="begin"/>
      </w:r>
      <w:r>
        <w:instrText xml:space="preserve"> PAGEREF _Toc6608 \h </w:instrText>
      </w:r>
      <w:r>
        <w:fldChar w:fldCharType="separate"/>
      </w:r>
      <w:r>
        <w:t>5</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_Toc12016 </w:instrText>
      </w:r>
      <w:r>
        <w:rPr>
          <w:rFonts w:hint="eastAsia" w:ascii="仿宋_GB2312" w:hAnsi="仿宋_GB2312" w:eastAsia="仿宋_GB2312" w:cs="仿宋_GB2312"/>
          <w:szCs w:val="36"/>
        </w:rPr>
        <w:fldChar w:fldCharType="separate"/>
      </w:r>
      <w:r>
        <w:rPr>
          <w:rFonts w:hint="eastAsia"/>
        </w:rPr>
        <w:t>五、 大同市第二十</w:t>
      </w:r>
      <w:r>
        <w:rPr>
          <w:rFonts w:hint="eastAsia"/>
          <w:lang w:val="en-US" w:eastAsia="zh-CN"/>
        </w:rPr>
        <w:t>一</w:t>
      </w:r>
      <w:r>
        <w:rPr>
          <w:rFonts w:hint="eastAsia"/>
        </w:rPr>
        <w:t>中学校2022年一般公共预算支出预算表</w:t>
      </w:r>
      <w:r>
        <w:tab/>
      </w:r>
      <w:r>
        <w:fldChar w:fldCharType="begin"/>
      </w:r>
      <w:r>
        <w:instrText xml:space="preserve"> PAGEREF _Toc12016 \h </w:instrText>
      </w:r>
      <w:r>
        <w:fldChar w:fldCharType="separate"/>
      </w:r>
      <w:r>
        <w:t>6</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_Toc18041 </w:instrText>
      </w:r>
      <w:r>
        <w:rPr>
          <w:rFonts w:hint="eastAsia" w:ascii="仿宋_GB2312" w:hAnsi="仿宋_GB2312" w:eastAsia="仿宋_GB2312" w:cs="仿宋_GB2312"/>
          <w:szCs w:val="36"/>
        </w:rPr>
        <w:fldChar w:fldCharType="separate"/>
      </w:r>
      <w:r>
        <w:rPr>
          <w:rFonts w:hint="eastAsia"/>
        </w:rPr>
        <w:t>六、大同市第二十</w:t>
      </w:r>
      <w:r>
        <w:rPr>
          <w:rFonts w:hint="eastAsia"/>
          <w:lang w:val="en-US" w:eastAsia="zh-CN"/>
        </w:rPr>
        <w:t>一</w:t>
      </w:r>
      <w:r>
        <w:rPr>
          <w:rFonts w:hint="eastAsia"/>
        </w:rPr>
        <w:t>中学校2022年一般公共预算安排基本支出分经济科目表</w:t>
      </w:r>
      <w:r>
        <w:tab/>
      </w:r>
      <w:r>
        <w:fldChar w:fldCharType="begin"/>
      </w:r>
      <w:r>
        <w:instrText xml:space="preserve"> PAGEREF _Toc18041 \h </w:instrText>
      </w:r>
      <w:r>
        <w:fldChar w:fldCharType="separate"/>
      </w:r>
      <w:r>
        <w:t>7</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_Toc16336 </w:instrText>
      </w:r>
      <w:r>
        <w:rPr>
          <w:rFonts w:hint="eastAsia" w:ascii="仿宋_GB2312" w:hAnsi="仿宋_GB2312" w:eastAsia="仿宋_GB2312" w:cs="仿宋_GB2312"/>
          <w:szCs w:val="36"/>
        </w:rPr>
        <w:fldChar w:fldCharType="separate"/>
      </w:r>
      <w:r>
        <w:rPr>
          <w:rFonts w:hint="eastAsia"/>
        </w:rPr>
        <w:t>七、大同市第二十</w:t>
      </w:r>
      <w:r>
        <w:rPr>
          <w:rFonts w:hint="eastAsia"/>
          <w:lang w:val="en-US" w:eastAsia="zh-CN"/>
        </w:rPr>
        <w:t>一</w:t>
      </w:r>
      <w:r>
        <w:rPr>
          <w:rFonts w:hint="eastAsia"/>
        </w:rPr>
        <w:t>中学校2022年政府性基金预算收入预算表</w:t>
      </w:r>
      <w:r>
        <w:tab/>
      </w:r>
      <w:r>
        <w:fldChar w:fldCharType="begin"/>
      </w:r>
      <w:r>
        <w:instrText xml:space="preserve"> PAGEREF _Toc16336 \h </w:instrText>
      </w:r>
      <w:r>
        <w:fldChar w:fldCharType="separate"/>
      </w:r>
      <w:r>
        <w:t>7</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_Toc1504 </w:instrText>
      </w:r>
      <w:r>
        <w:rPr>
          <w:rFonts w:hint="eastAsia" w:ascii="仿宋_GB2312" w:hAnsi="仿宋_GB2312" w:eastAsia="仿宋_GB2312" w:cs="仿宋_GB2312"/>
          <w:szCs w:val="36"/>
        </w:rPr>
        <w:fldChar w:fldCharType="separate"/>
      </w:r>
      <w:r>
        <w:rPr>
          <w:rFonts w:hint="eastAsia"/>
        </w:rPr>
        <w:t>八、大同市第二十</w:t>
      </w:r>
      <w:r>
        <w:rPr>
          <w:rFonts w:hint="eastAsia"/>
          <w:lang w:val="en-US" w:eastAsia="zh-CN"/>
        </w:rPr>
        <w:t>一</w:t>
      </w:r>
      <w:r>
        <w:rPr>
          <w:rFonts w:hint="eastAsia"/>
        </w:rPr>
        <w:t>中学校2022年政府性基金预算支出预算表</w:t>
      </w:r>
      <w:r>
        <w:tab/>
      </w:r>
      <w:r>
        <w:fldChar w:fldCharType="begin"/>
      </w:r>
      <w:r>
        <w:instrText xml:space="preserve"> PAGEREF _Toc1504 \h </w:instrText>
      </w:r>
      <w:r>
        <w:fldChar w:fldCharType="separate"/>
      </w:r>
      <w:r>
        <w:t>8</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_Toc1955 </w:instrText>
      </w:r>
      <w:r>
        <w:rPr>
          <w:rFonts w:hint="eastAsia" w:ascii="仿宋_GB2312" w:hAnsi="仿宋_GB2312" w:eastAsia="仿宋_GB2312" w:cs="仿宋_GB2312"/>
          <w:szCs w:val="36"/>
        </w:rPr>
        <w:fldChar w:fldCharType="separate"/>
      </w:r>
      <w:r>
        <w:rPr>
          <w:rFonts w:hint="eastAsia"/>
        </w:rPr>
        <w:t>九、大同市第二十</w:t>
      </w:r>
      <w:r>
        <w:rPr>
          <w:rFonts w:hint="eastAsia"/>
          <w:lang w:val="en-US" w:eastAsia="zh-CN"/>
        </w:rPr>
        <w:t>一</w:t>
      </w:r>
      <w:r>
        <w:rPr>
          <w:rFonts w:hint="eastAsia"/>
        </w:rPr>
        <w:t>中学校2022年国有资本经营预算收支预算表</w:t>
      </w:r>
      <w:r>
        <w:tab/>
      </w:r>
      <w:r>
        <w:fldChar w:fldCharType="begin"/>
      </w:r>
      <w:r>
        <w:instrText xml:space="preserve"> PAGEREF _Toc1955 \h </w:instrText>
      </w:r>
      <w:r>
        <w:fldChar w:fldCharType="separate"/>
      </w:r>
      <w:r>
        <w:t>8</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_Toc2038 </w:instrText>
      </w:r>
      <w:r>
        <w:rPr>
          <w:rFonts w:hint="eastAsia" w:ascii="仿宋_GB2312" w:hAnsi="仿宋_GB2312" w:eastAsia="仿宋_GB2312" w:cs="仿宋_GB2312"/>
          <w:szCs w:val="36"/>
        </w:rPr>
        <w:fldChar w:fldCharType="separate"/>
      </w:r>
      <w:r>
        <w:rPr>
          <w:rFonts w:hint="eastAsia"/>
        </w:rPr>
        <w:t>十、大同市第二十</w:t>
      </w:r>
      <w:r>
        <w:rPr>
          <w:rFonts w:hint="eastAsia"/>
          <w:lang w:val="en-US" w:eastAsia="zh-CN"/>
        </w:rPr>
        <w:t>一</w:t>
      </w:r>
      <w:r>
        <w:rPr>
          <w:rFonts w:hint="eastAsia"/>
        </w:rPr>
        <w:t>中学校2022年“三公”经费支出预算表</w:t>
      </w:r>
      <w:r>
        <w:tab/>
      </w:r>
      <w:r>
        <w:fldChar w:fldCharType="begin"/>
      </w:r>
      <w:r>
        <w:instrText xml:space="preserve"> PAGEREF _Toc2038 \h </w:instrText>
      </w:r>
      <w:r>
        <w:fldChar w:fldCharType="separate"/>
      </w:r>
      <w:r>
        <w:t>9</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_Toc12761 </w:instrText>
      </w:r>
      <w:r>
        <w:rPr>
          <w:rFonts w:hint="eastAsia" w:ascii="仿宋_GB2312" w:hAnsi="仿宋_GB2312" w:eastAsia="仿宋_GB2312" w:cs="仿宋_GB2312"/>
          <w:szCs w:val="36"/>
        </w:rPr>
        <w:fldChar w:fldCharType="separate"/>
      </w:r>
      <w:r>
        <w:rPr>
          <w:rFonts w:hint="eastAsia"/>
        </w:rPr>
        <w:t>十一、大同市第二十</w:t>
      </w:r>
      <w:r>
        <w:rPr>
          <w:rFonts w:hint="eastAsia"/>
          <w:lang w:val="en-US" w:eastAsia="zh-CN"/>
        </w:rPr>
        <w:t>一</w:t>
      </w:r>
      <w:r>
        <w:rPr>
          <w:rFonts w:hint="eastAsia"/>
        </w:rPr>
        <w:t>中学校2022年机关运行经费预算财政拨款情况表</w:t>
      </w:r>
      <w:r>
        <w:tab/>
      </w:r>
      <w:r>
        <w:fldChar w:fldCharType="begin"/>
      </w:r>
      <w:r>
        <w:instrText xml:space="preserve"> PAGEREF _Toc12761 \h </w:instrText>
      </w:r>
      <w:r>
        <w:fldChar w:fldCharType="separate"/>
      </w:r>
      <w:r>
        <w:t>9</w:t>
      </w:r>
      <w:r>
        <w:fldChar w:fldCharType="end"/>
      </w:r>
      <w:r>
        <w:rPr>
          <w:rFonts w:hint="eastAsia" w:ascii="仿宋_GB2312" w:hAnsi="仿宋_GB2312" w:eastAsia="仿宋_GB2312" w:cs="仿宋_GB2312"/>
          <w:szCs w:val="36"/>
        </w:rPr>
        <w:fldChar w:fldCharType="end"/>
      </w:r>
    </w:p>
    <w:p>
      <w:pPr>
        <w:pStyle w:val="6"/>
        <w:tabs>
          <w:tab w:val="right" w:leader="dot" w:pos="8306"/>
        </w:tabs>
        <w:ind w:left="0" w:leftChars="0" w:firstLine="0" w:firstLineChars="0"/>
        <w:rPr>
          <w:rFonts w:hint="eastAsia" w:ascii="黑体" w:hAnsi="黑体" w:eastAsia="黑体" w:cs="黑体"/>
        </w:rPr>
      </w:pPr>
      <w:r>
        <w:rPr>
          <w:rFonts w:hint="eastAsia" w:ascii="黑体" w:hAnsi="黑体" w:eastAsia="黑体" w:cs="黑体"/>
          <w:szCs w:val="36"/>
        </w:rPr>
        <w:fldChar w:fldCharType="begin"/>
      </w:r>
      <w:r>
        <w:rPr>
          <w:rFonts w:hint="eastAsia" w:ascii="黑体" w:hAnsi="黑体" w:eastAsia="黑体" w:cs="黑体"/>
          <w:szCs w:val="36"/>
        </w:rPr>
        <w:instrText xml:space="preserve"> HYPERLINK \l _Toc16517 </w:instrText>
      </w:r>
      <w:r>
        <w:rPr>
          <w:rFonts w:hint="eastAsia" w:ascii="黑体" w:hAnsi="黑体" w:eastAsia="黑体" w:cs="黑体"/>
          <w:szCs w:val="36"/>
        </w:rPr>
        <w:fldChar w:fldCharType="separate"/>
      </w:r>
      <w:r>
        <w:rPr>
          <w:rFonts w:hint="eastAsia" w:ascii="黑体" w:hAnsi="黑体" w:eastAsia="黑体" w:cs="黑体"/>
        </w:rPr>
        <w:t>第三部分  2022年度部门（单位）预算情况说明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_Toc16517 \h </w:instrText>
      </w:r>
      <w:r>
        <w:rPr>
          <w:rFonts w:hint="eastAsia" w:ascii="黑体" w:hAnsi="黑体" w:eastAsia="黑体" w:cs="黑体"/>
        </w:rPr>
        <w:fldChar w:fldCharType="separate"/>
      </w:r>
      <w:r>
        <w:rPr>
          <w:rFonts w:hint="eastAsia" w:ascii="黑体" w:hAnsi="黑体" w:eastAsia="黑体" w:cs="黑体"/>
        </w:rPr>
        <w:t>10</w:t>
      </w:r>
      <w:r>
        <w:rPr>
          <w:rFonts w:hint="eastAsia" w:ascii="黑体" w:hAnsi="黑体" w:eastAsia="黑体" w:cs="黑体"/>
        </w:rPr>
        <w:fldChar w:fldCharType="end"/>
      </w:r>
      <w:r>
        <w:rPr>
          <w:rFonts w:hint="eastAsia" w:ascii="黑体" w:hAnsi="黑体" w:eastAsia="黑体" w:cs="黑体"/>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_Toc2229 </w:instrText>
      </w:r>
      <w:r>
        <w:rPr>
          <w:rFonts w:hint="eastAsia" w:ascii="仿宋_GB2312" w:hAnsi="仿宋_GB2312" w:eastAsia="仿宋_GB2312" w:cs="仿宋_GB2312"/>
          <w:szCs w:val="36"/>
        </w:rPr>
        <w:fldChar w:fldCharType="separate"/>
      </w:r>
      <w:r>
        <w:rPr>
          <w:rFonts w:hint="eastAsia"/>
        </w:rPr>
        <w:t>一、2022年度部门预算数据变动情况及原因</w:t>
      </w:r>
      <w:r>
        <w:tab/>
      </w:r>
      <w:r>
        <w:fldChar w:fldCharType="begin"/>
      </w:r>
      <w:r>
        <w:instrText xml:space="preserve"> PAGEREF _Toc2229 \h </w:instrText>
      </w:r>
      <w:r>
        <w:fldChar w:fldCharType="separate"/>
      </w:r>
      <w:r>
        <w:t>10</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_Toc18429 </w:instrText>
      </w:r>
      <w:r>
        <w:rPr>
          <w:rFonts w:hint="eastAsia" w:ascii="仿宋_GB2312" w:hAnsi="仿宋_GB2312" w:eastAsia="仿宋_GB2312" w:cs="仿宋_GB2312"/>
          <w:szCs w:val="36"/>
        </w:rPr>
        <w:fldChar w:fldCharType="separate"/>
      </w:r>
      <w:r>
        <w:rPr>
          <w:rFonts w:hint="eastAsia"/>
        </w:rPr>
        <w:t>二、“三公”经费增减变动原因说明</w:t>
      </w:r>
      <w:r>
        <w:tab/>
      </w:r>
      <w:r>
        <w:fldChar w:fldCharType="begin"/>
      </w:r>
      <w:r>
        <w:instrText xml:space="preserve"> PAGEREF _Toc18429 \h </w:instrText>
      </w:r>
      <w:r>
        <w:fldChar w:fldCharType="separate"/>
      </w:r>
      <w:r>
        <w:t>10</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_Toc9547 </w:instrText>
      </w:r>
      <w:r>
        <w:rPr>
          <w:rFonts w:hint="eastAsia" w:ascii="仿宋_GB2312" w:hAnsi="仿宋_GB2312" w:eastAsia="仿宋_GB2312" w:cs="仿宋_GB2312"/>
          <w:szCs w:val="36"/>
        </w:rPr>
        <w:fldChar w:fldCharType="separate"/>
      </w:r>
      <w:r>
        <w:rPr>
          <w:rFonts w:hint="eastAsia"/>
        </w:rPr>
        <w:t>三、机关运行经费增减变动原因说明</w:t>
      </w:r>
      <w:r>
        <w:tab/>
      </w:r>
      <w:r>
        <w:fldChar w:fldCharType="begin"/>
      </w:r>
      <w:r>
        <w:instrText xml:space="preserve"> PAGEREF _Toc9547 \h </w:instrText>
      </w:r>
      <w:r>
        <w:fldChar w:fldCharType="separate"/>
      </w:r>
      <w:r>
        <w:t>10</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_Toc21473 </w:instrText>
      </w:r>
      <w:r>
        <w:rPr>
          <w:rFonts w:hint="eastAsia" w:ascii="仿宋_GB2312" w:hAnsi="仿宋_GB2312" w:eastAsia="仿宋_GB2312" w:cs="仿宋_GB2312"/>
          <w:szCs w:val="36"/>
        </w:rPr>
        <w:fldChar w:fldCharType="separate"/>
      </w:r>
      <w:r>
        <w:rPr>
          <w:rFonts w:hint="eastAsia"/>
        </w:rPr>
        <w:t>四、政府采购情况</w:t>
      </w:r>
      <w:r>
        <w:tab/>
      </w:r>
      <w:r>
        <w:fldChar w:fldCharType="begin"/>
      </w:r>
      <w:r>
        <w:instrText xml:space="preserve"> PAGEREF _Toc21473 \h </w:instrText>
      </w:r>
      <w:r>
        <w:fldChar w:fldCharType="separate"/>
      </w:r>
      <w:r>
        <w:t>10</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_Toc27855 </w:instrText>
      </w:r>
      <w:r>
        <w:rPr>
          <w:rFonts w:hint="eastAsia" w:ascii="仿宋_GB2312" w:hAnsi="仿宋_GB2312" w:eastAsia="仿宋_GB2312" w:cs="仿宋_GB2312"/>
          <w:szCs w:val="36"/>
        </w:rPr>
        <w:fldChar w:fldCharType="separate"/>
      </w:r>
      <w:r>
        <w:rPr>
          <w:rFonts w:hint="eastAsia"/>
        </w:rPr>
        <w:t>五、绩效管理情况</w:t>
      </w:r>
      <w:r>
        <w:tab/>
      </w:r>
      <w:r>
        <w:fldChar w:fldCharType="begin"/>
      </w:r>
      <w:r>
        <w:instrText xml:space="preserve"> PAGEREF _Toc27855 \h </w:instrText>
      </w:r>
      <w:r>
        <w:fldChar w:fldCharType="separate"/>
      </w:r>
      <w:r>
        <w:t>10</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_Toc2920 </w:instrText>
      </w:r>
      <w:r>
        <w:rPr>
          <w:rFonts w:hint="eastAsia" w:ascii="仿宋_GB2312" w:hAnsi="仿宋_GB2312" w:eastAsia="仿宋_GB2312" w:cs="仿宋_GB2312"/>
          <w:szCs w:val="36"/>
        </w:rPr>
        <w:fldChar w:fldCharType="separate"/>
      </w:r>
      <w:r>
        <w:rPr>
          <w:rFonts w:hint="eastAsia"/>
        </w:rPr>
        <w:t>六、国有资产占有使用情况</w:t>
      </w:r>
      <w:r>
        <w:tab/>
      </w:r>
      <w:r>
        <w:fldChar w:fldCharType="begin"/>
      </w:r>
      <w:r>
        <w:instrText xml:space="preserve"> PAGEREF _Toc2920 \h </w:instrText>
      </w:r>
      <w:r>
        <w:fldChar w:fldCharType="separate"/>
      </w:r>
      <w:r>
        <w:t>17</w:t>
      </w:r>
      <w:r>
        <w:fldChar w:fldCharType="end"/>
      </w:r>
      <w:r>
        <w:rPr>
          <w:rFonts w:hint="eastAsia" w:ascii="仿宋_GB2312" w:hAnsi="仿宋_GB2312" w:eastAsia="仿宋_GB2312" w:cs="仿宋_GB2312"/>
          <w:szCs w:val="36"/>
        </w:rPr>
        <w:fldChar w:fldCharType="end"/>
      </w:r>
    </w:p>
    <w:p>
      <w:pPr>
        <w:pStyle w:val="7"/>
        <w:tabs>
          <w:tab w:val="right" w:leader="dot" w:pos="8306"/>
        </w:tabs>
        <w:ind w:left="0" w:leftChars="0" w:firstLine="0" w:firstLineChars="0"/>
      </w:pPr>
      <w:r>
        <w:rPr>
          <w:rFonts w:hint="eastAsia" w:ascii="仿宋_GB2312" w:hAnsi="仿宋_GB2312" w:eastAsia="仿宋_GB2312" w:cs="仿宋_GB2312"/>
          <w:szCs w:val="36"/>
        </w:rPr>
        <w:fldChar w:fldCharType="begin"/>
      </w:r>
      <w:r>
        <w:rPr>
          <w:rFonts w:hint="eastAsia" w:ascii="仿宋_GB2312" w:hAnsi="仿宋_GB2312" w:eastAsia="仿宋_GB2312" w:cs="仿宋_GB2312"/>
          <w:szCs w:val="36"/>
        </w:rPr>
        <w:instrText xml:space="preserve"> HYPERLINK \l _Toc11556 </w:instrText>
      </w:r>
      <w:r>
        <w:rPr>
          <w:rFonts w:hint="eastAsia" w:ascii="仿宋_GB2312" w:hAnsi="仿宋_GB2312" w:eastAsia="仿宋_GB2312" w:cs="仿宋_GB2312"/>
          <w:szCs w:val="36"/>
        </w:rPr>
        <w:fldChar w:fldCharType="separate"/>
      </w:r>
      <w:r>
        <w:rPr>
          <w:rFonts w:hint="eastAsia"/>
        </w:rPr>
        <w:t>七、其他说明（参考模板，各单位可根据本单位实际情况进行修改和完善）</w:t>
      </w:r>
      <w:r>
        <w:tab/>
      </w:r>
      <w:r>
        <w:fldChar w:fldCharType="begin"/>
      </w:r>
      <w:r>
        <w:instrText xml:space="preserve"> PAGEREF _Toc11556 \h </w:instrText>
      </w:r>
      <w:r>
        <w:fldChar w:fldCharType="separate"/>
      </w:r>
      <w:r>
        <w:t>18</w:t>
      </w:r>
      <w:r>
        <w:fldChar w:fldCharType="end"/>
      </w:r>
      <w:r>
        <w:rPr>
          <w:rFonts w:hint="eastAsia" w:ascii="仿宋_GB2312" w:hAnsi="仿宋_GB2312" w:eastAsia="仿宋_GB2312" w:cs="仿宋_GB2312"/>
          <w:szCs w:val="36"/>
        </w:rPr>
        <w:fldChar w:fldCharType="end"/>
      </w:r>
    </w:p>
    <w:p>
      <w:pPr>
        <w:pStyle w:val="6"/>
        <w:tabs>
          <w:tab w:val="right" w:leader="dot" w:pos="8306"/>
        </w:tabs>
        <w:ind w:left="0" w:leftChars="0" w:firstLine="0" w:firstLineChars="0"/>
      </w:pPr>
      <w:r>
        <w:rPr>
          <w:rFonts w:hint="eastAsia" w:ascii="黑体" w:hAnsi="黑体" w:eastAsia="黑体" w:cs="黑体"/>
          <w:szCs w:val="36"/>
        </w:rPr>
        <w:fldChar w:fldCharType="begin"/>
      </w:r>
      <w:r>
        <w:rPr>
          <w:rFonts w:hint="eastAsia" w:ascii="黑体" w:hAnsi="黑体" w:eastAsia="黑体" w:cs="黑体"/>
          <w:szCs w:val="36"/>
        </w:rPr>
        <w:instrText xml:space="preserve"> HYPERLINK \l _Toc25161 </w:instrText>
      </w:r>
      <w:r>
        <w:rPr>
          <w:rFonts w:hint="eastAsia" w:ascii="黑体" w:hAnsi="黑体" w:eastAsia="黑体" w:cs="黑体"/>
          <w:szCs w:val="36"/>
        </w:rPr>
        <w:fldChar w:fldCharType="separate"/>
      </w:r>
      <w:r>
        <w:rPr>
          <w:rFonts w:hint="eastAsia" w:ascii="黑体" w:hAnsi="黑体" w:eastAsia="黑体" w:cs="黑体"/>
        </w:rPr>
        <w:t>第四部分  名词解释</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_Toc25161 \h </w:instrText>
      </w:r>
      <w:r>
        <w:rPr>
          <w:rFonts w:hint="eastAsia" w:ascii="黑体" w:hAnsi="黑体" w:eastAsia="黑体" w:cs="黑体"/>
        </w:rPr>
        <w:fldChar w:fldCharType="separate"/>
      </w:r>
      <w:r>
        <w:rPr>
          <w:rFonts w:hint="eastAsia" w:ascii="黑体" w:hAnsi="黑体" w:eastAsia="黑体" w:cs="黑体"/>
        </w:rPr>
        <w:t>19</w:t>
      </w:r>
      <w:r>
        <w:rPr>
          <w:rFonts w:hint="eastAsia" w:ascii="黑体" w:hAnsi="黑体" w:eastAsia="黑体" w:cs="黑体"/>
        </w:rPr>
        <w:fldChar w:fldCharType="end"/>
      </w:r>
      <w:r>
        <w:rPr>
          <w:rFonts w:hint="eastAsia" w:ascii="黑体" w:hAnsi="黑体" w:eastAsia="黑体" w:cs="黑体"/>
          <w:szCs w:val="36"/>
        </w:rPr>
        <w:fldChar w:fldCharType="end"/>
      </w:r>
    </w:p>
    <w:p>
      <w:pPr>
        <w:ind w:left="0" w:leftChars="0" w:firstLine="768" w:firstLineChars="240"/>
        <w:rPr>
          <w:rFonts w:hint="eastAsia" w:ascii="仿宋_GB2312" w:hAnsi="仿宋_GB2312" w:eastAsia="仿宋_GB2312" w:cs="仿宋_GB2312"/>
        </w:rPr>
      </w:pPr>
      <w:r>
        <w:rPr>
          <w:rFonts w:hint="eastAsia" w:ascii="仿宋_GB2312" w:hAnsi="仿宋_GB2312" w:eastAsia="仿宋_GB2312" w:cs="仿宋_GB2312"/>
          <w:szCs w:val="36"/>
        </w:rPr>
        <w:fldChar w:fldCharType="end"/>
      </w:r>
    </w:p>
    <w:p>
      <w:pPr>
        <w:pStyle w:val="2"/>
        <w:bidi w:val="0"/>
        <w:rPr>
          <w:rFonts w:hint="eastAsia" w:ascii="仿宋_GB2312" w:hAnsi="仿宋_GB2312" w:eastAsia="仿宋_GB2312" w:cs="仿宋_GB2312"/>
        </w:rPr>
        <w:sectPr>
          <w:footerReference r:id="rId5" w:type="default"/>
          <w:pgSz w:w="11906" w:h="16838"/>
          <w:pgMar w:top="1440" w:right="1800" w:bottom="1440" w:left="1800" w:header="851" w:footer="992" w:gutter="0"/>
          <w:pgNumType w:fmt="decimal" w:start="1"/>
          <w:cols w:space="720" w:num="1"/>
          <w:docGrid w:type="lines" w:linePitch="312" w:charSpace="0"/>
        </w:sectPr>
      </w:pPr>
    </w:p>
    <w:p>
      <w:pPr>
        <w:pStyle w:val="2"/>
        <w:bidi w:val="0"/>
        <w:rPr>
          <w:rFonts w:hint="eastAsia"/>
        </w:rPr>
      </w:pPr>
      <w:bookmarkStart w:id="0" w:name="_Toc8766"/>
      <w:r>
        <w:rPr>
          <w:rFonts w:hint="eastAsia"/>
        </w:rPr>
        <w:t>第一部分  概况</w:t>
      </w:r>
      <w:bookmarkEnd w:id="0"/>
    </w:p>
    <w:p>
      <w:pPr>
        <w:numPr>
          <w:ilvl w:val="0"/>
          <w:numId w:val="1"/>
        </w:numPr>
        <w:spacing w:before="156" w:beforeLines="50"/>
        <w:ind w:firstLine="640" w:firstLineChars="200"/>
        <w:rPr>
          <w:rFonts w:hint="eastAsia" w:ascii="黑体" w:hAnsi="黑体" w:eastAsia="黑体"/>
          <w:sz w:val="32"/>
          <w:szCs w:val="32"/>
        </w:rPr>
      </w:pPr>
      <w:r>
        <w:rPr>
          <w:rFonts w:hint="eastAsia" w:ascii="黑体" w:hAnsi="黑体" w:eastAsia="黑体"/>
          <w:sz w:val="32"/>
          <w:szCs w:val="32"/>
        </w:rPr>
        <w:t>本部门（单位）职责</w:t>
      </w:r>
    </w:p>
    <w:p>
      <w:pPr>
        <w:bidi w:val="0"/>
        <w:rPr>
          <w:rFonts w:hint="eastAsia"/>
        </w:rPr>
      </w:pPr>
      <w:r>
        <w:rPr>
          <w:rFonts w:hint="eastAsia"/>
        </w:rPr>
        <w:t>大同市第二十一中学校（原大同市第二发电厂职工子弟学校），属大同市教育局直属的九年一贯制义务教育学校。主要职能是实施九年一贯制义务教育，促进基础教育发展，为学生接受义务教育创造良好的环境。学校职责为贯彻国家的教育方针，执行国家教育教学标准，保证教育教学质量，坚持社会主义办学方向，对学生进行德育、智育、体育、美育和劳动教育等方面的教育。</w:t>
      </w:r>
    </w:p>
    <w:p>
      <w:pPr>
        <w:ind w:firstLine="640" w:firstLineChars="200"/>
        <w:rPr>
          <w:rFonts w:hint="eastAsia" w:ascii="黑体" w:hAnsi="黑体" w:eastAsia="黑体"/>
          <w:sz w:val="32"/>
          <w:szCs w:val="32"/>
        </w:rPr>
      </w:pPr>
      <w:r>
        <w:rPr>
          <w:rFonts w:hint="eastAsia" w:ascii="黑体" w:hAnsi="黑体" w:eastAsia="黑体"/>
          <w:sz w:val="32"/>
          <w:szCs w:val="32"/>
        </w:rPr>
        <w:t>二、机构设置情况</w:t>
      </w:r>
    </w:p>
    <w:p>
      <w:pPr>
        <w:bidi w:val="0"/>
        <w:rPr>
          <w:rFonts w:hint="eastAsia"/>
        </w:rPr>
      </w:pPr>
      <w:r>
        <w:t>大同市第二十一中学</w:t>
      </w:r>
      <w:r>
        <w:rPr>
          <w:rFonts w:hint="default"/>
        </w:rPr>
        <w:t>为大同市教育局的二级预算单位，学校设置9个部门：党委办公室</w:t>
      </w:r>
      <w:r>
        <w:rPr>
          <w:rFonts w:hint="eastAsia"/>
          <w:lang w:eastAsia="zh-CN"/>
        </w:rPr>
        <w:t>、</w:t>
      </w:r>
      <w:r>
        <w:rPr>
          <w:rFonts w:hint="eastAsia"/>
        </w:rPr>
        <w:t>办公室、</w:t>
      </w:r>
      <w:r>
        <w:rPr>
          <w:rFonts w:hint="eastAsia"/>
          <w:lang w:val="en-US" w:eastAsia="zh-CN"/>
        </w:rPr>
        <w:t>政教处</w:t>
      </w:r>
      <w:r>
        <w:rPr>
          <w:rFonts w:hint="eastAsia"/>
        </w:rPr>
        <w:t>、总务处、</w:t>
      </w:r>
      <w:r>
        <w:rPr>
          <w:rFonts w:hint="eastAsia"/>
          <w:lang w:val="en-US" w:eastAsia="zh-CN"/>
        </w:rPr>
        <w:t>教务处、工会、团委、大队部教科研室</w:t>
      </w:r>
      <w:r>
        <w:rPr>
          <w:rFonts w:hint="eastAsia"/>
        </w:rPr>
        <w:t>。</w:t>
      </w:r>
    </w:p>
    <w:p>
      <w:pPr>
        <w:bidi w:val="0"/>
        <w:rPr>
          <w:rFonts w:hint="eastAsia"/>
        </w:rPr>
      </w:pPr>
      <w:r>
        <w:rPr>
          <w:rFonts w:hint="eastAsia"/>
        </w:rPr>
        <w:t xml:space="preserve"> 截至 2022 年预算上报期结束大同市第二十</w:t>
      </w:r>
      <w:r>
        <w:rPr>
          <w:rFonts w:hint="eastAsia"/>
          <w:lang w:val="en-US" w:eastAsia="zh-CN"/>
        </w:rPr>
        <w:t>一</w:t>
      </w:r>
      <w:r>
        <w:rPr>
          <w:rFonts w:hint="eastAsia"/>
        </w:rPr>
        <w:t xml:space="preserve">中学校在编人员 </w:t>
      </w:r>
      <w:r>
        <w:rPr>
          <w:rFonts w:hint="eastAsia"/>
          <w:lang w:val="en-US" w:eastAsia="zh-CN"/>
        </w:rPr>
        <w:t>76</w:t>
      </w:r>
      <w:r>
        <w:rPr>
          <w:rFonts w:hint="eastAsia"/>
        </w:rPr>
        <w:t xml:space="preserve">人，退休人员 </w:t>
      </w:r>
      <w:r>
        <w:rPr>
          <w:rFonts w:hint="eastAsia"/>
          <w:lang w:val="en-US" w:eastAsia="zh-CN"/>
        </w:rPr>
        <w:t>18</w:t>
      </w:r>
      <w:r>
        <w:rPr>
          <w:rFonts w:hint="eastAsia"/>
        </w:rPr>
        <w:t xml:space="preserve"> 人。</w:t>
      </w:r>
    </w:p>
    <w:p>
      <w:pPr>
        <w:spacing w:after="156" w:afterLines="50"/>
        <w:jc w:val="center"/>
        <w:rPr>
          <w:rFonts w:hint="eastAsia" w:ascii="华文中宋" w:hAnsi="华文中宋" w:eastAsia="华文中宋"/>
          <w:sz w:val="36"/>
          <w:szCs w:val="36"/>
        </w:rPr>
      </w:pPr>
    </w:p>
    <w:p>
      <w:pPr>
        <w:spacing w:after="156" w:afterLines="50"/>
        <w:jc w:val="center"/>
        <w:rPr>
          <w:rFonts w:hint="eastAsia" w:ascii="华文中宋" w:hAnsi="华文中宋" w:eastAsia="华文中宋"/>
          <w:sz w:val="36"/>
          <w:szCs w:val="36"/>
        </w:rPr>
      </w:pPr>
    </w:p>
    <w:p>
      <w:pPr>
        <w:spacing w:after="156" w:afterLines="50"/>
        <w:jc w:val="center"/>
        <w:rPr>
          <w:rFonts w:hint="eastAsia" w:ascii="华文中宋" w:hAnsi="华文中宋" w:eastAsia="华文中宋"/>
          <w:sz w:val="36"/>
          <w:szCs w:val="36"/>
        </w:rPr>
      </w:pPr>
    </w:p>
    <w:p>
      <w:pPr>
        <w:spacing w:after="156" w:afterLines="50"/>
        <w:jc w:val="center"/>
        <w:rPr>
          <w:rFonts w:hint="eastAsia" w:ascii="华文中宋" w:hAnsi="华文中宋" w:eastAsia="华文中宋"/>
          <w:sz w:val="36"/>
          <w:szCs w:val="36"/>
        </w:rPr>
      </w:pPr>
    </w:p>
    <w:p>
      <w:pPr>
        <w:spacing w:after="156" w:afterLines="50"/>
        <w:jc w:val="center"/>
        <w:rPr>
          <w:rFonts w:hint="eastAsia" w:ascii="华文中宋" w:hAnsi="华文中宋" w:eastAsia="华文中宋"/>
          <w:sz w:val="36"/>
          <w:szCs w:val="36"/>
        </w:rPr>
      </w:pPr>
    </w:p>
    <w:p>
      <w:pPr>
        <w:spacing w:after="156" w:afterLines="50"/>
        <w:jc w:val="center"/>
        <w:rPr>
          <w:rFonts w:hint="eastAsia" w:ascii="华文中宋" w:hAnsi="华文中宋" w:eastAsia="华文中宋"/>
          <w:sz w:val="36"/>
          <w:szCs w:val="36"/>
        </w:rPr>
      </w:pPr>
      <w:r>
        <w:rPr>
          <w:rFonts w:hint="eastAsia" w:ascii="华文中宋" w:hAnsi="华文中宋" w:eastAsia="华文中宋"/>
          <w:sz w:val="36"/>
          <w:szCs w:val="36"/>
        </w:rPr>
        <w:t>第二部分  2022年度部门（单位）预算报表</w:t>
      </w:r>
    </w:p>
    <w:p>
      <w:pPr>
        <w:pStyle w:val="3"/>
        <w:bidi w:val="0"/>
        <w:rPr>
          <w:rFonts w:hint="eastAsia"/>
        </w:rPr>
      </w:pPr>
      <w:bookmarkStart w:id="1" w:name="_Toc30926"/>
      <w:r>
        <w:rPr>
          <w:rFonts w:hint="eastAsia"/>
        </w:rPr>
        <w:t>一、大同市第二十</w:t>
      </w:r>
      <w:r>
        <w:rPr>
          <w:rFonts w:hint="eastAsia"/>
          <w:lang w:val="en-US" w:eastAsia="zh-CN"/>
        </w:rPr>
        <w:t>一</w:t>
      </w:r>
      <w:r>
        <w:rPr>
          <w:rFonts w:hint="eastAsia"/>
        </w:rPr>
        <w:t>中学校2022年预算收支总表</w:t>
      </w:r>
      <w:bookmarkEnd w:id="1"/>
    </w:p>
    <w:tbl>
      <w:tblPr>
        <w:tblStyle w:val="9"/>
        <w:tblW w:w="873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708"/>
        <w:gridCol w:w="1375"/>
        <w:gridCol w:w="2875"/>
        <w:gridCol w:w="17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708"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37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287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75"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733"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708"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部门:[050057]大同市第二十一中学校</w:t>
            </w:r>
          </w:p>
        </w:tc>
        <w:tc>
          <w:tcPr>
            <w:tcW w:w="137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287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1775"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08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46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四、财政专户管理资金</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五、单位资金</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r>
    </w:tbl>
    <w:p>
      <w:pPr>
        <w:pStyle w:val="3"/>
        <w:numPr>
          <w:ilvl w:val="0"/>
          <w:numId w:val="0"/>
        </w:numPr>
        <w:bidi w:val="0"/>
        <w:rPr>
          <w:rFonts w:hint="eastAsia"/>
          <w:lang w:val="en-US" w:eastAsia="zh-CN"/>
        </w:rPr>
      </w:pPr>
      <w:bookmarkStart w:id="2" w:name="_Toc4386"/>
    </w:p>
    <w:p>
      <w:pPr>
        <w:pStyle w:val="3"/>
        <w:numPr>
          <w:ilvl w:val="0"/>
          <w:numId w:val="0"/>
        </w:numPr>
        <w:bidi w:val="0"/>
        <w:rPr>
          <w:rFonts w:hint="eastAsia"/>
          <w:lang w:val="en-US" w:eastAsia="zh-CN"/>
        </w:rPr>
      </w:pPr>
    </w:p>
    <w:p>
      <w:pPr>
        <w:pStyle w:val="3"/>
        <w:numPr>
          <w:ilvl w:val="0"/>
          <w:numId w:val="0"/>
        </w:numPr>
        <w:bidi w:val="0"/>
        <w:rPr>
          <w:rFonts w:hint="eastAsia"/>
        </w:rPr>
      </w:pPr>
      <w:r>
        <w:rPr>
          <w:rFonts w:hint="eastAsia"/>
          <w:lang w:val="en-US" w:eastAsia="zh-CN"/>
        </w:rPr>
        <w:t>二、</w:t>
      </w:r>
      <w:r>
        <w:rPr>
          <w:rFonts w:hint="eastAsia"/>
        </w:rPr>
        <w:t>大同市第二十</w:t>
      </w:r>
      <w:r>
        <w:rPr>
          <w:rFonts w:hint="eastAsia"/>
          <w:lang w:val="en-US" w:eastAsia="zh-CN"/>
        </w:rPr>
        <w:t>一</w:t>
      </w:r>
      <w:r>
        <w:rPr>
          <w:rFonts w:hint="eastAsia"/>
        </w:rPr>
        <w:t>中学校2022年预算收入总表</w:t>
      </w:r>
      <w:bookmarkEnd w:id="2"/>
    </w:p>
    <w:tbl>
      <w:tblPr>
        <w:tblStyle w:val="9"/>
        <w:tblW w:w="96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22"/>
        <w:gridCol w:w="2375"/>
        <w:gridCol w:w="1300"/>
        <w:gridCol w:w="1125"/>
        <w:gridCol w:w="850"/>
        <w:gridCol w:w="925"/>
        <w:gridCol w:w="763"/>
        <w:gridCol w:w="8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42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37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0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5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528" w:type="dxa"/>
            <w:gridSpan w:val="3"/>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960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379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80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功能科目编码</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功能科目名称</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财政专户管理资金</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1,044.14</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1,044.14</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[205]教育支出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[20502]普通教育</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2050203</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[2050203]初中教育</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[208]社会保障和就业支出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0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[20805]行政事业单位养老支出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0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[2080502]事业单位离退休</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[2080505]机关事业单位基本养老保险缴费支出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210</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[210]卫生健康支出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21011</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[21011]行政事业单位医疗</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0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2101102</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[2101102]事业单位医疗</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[221]住房保障支出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[22102]住房改革支出</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[2210201]住房公积金</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atLeast"/>
        </w:trPr>
        <w:tc>
          <w:tcPr>
            <w:tcW w:w="1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w:t>
            </w:r>
          </w:p>
        </w:tc>
        <w:tc>
          <w:tcPr>
            <w:tcW w:w="2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[2210202]提租补贴</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bl>
    <w:p>
      <w:pPr>
        <w:pStyle w:val="3"/>
        <w:bidi w:val="0"/>
        <w:rPr>
          <w:rFonts w:hint="eastAsia" w:ascii="仿宋_GB2312" w:hAnsi="楷体" w:eastAsia="仿宋_GB2312"/>
          <w:szCs w:val="32"/>
        </w:rPr>
      </w:pPr>
      <w:bookmarkStart w:id="3" w:name="_Toc29132"/>
      <w:r>
        <w:rPr>
          <w:rFonts w:hint="eastAsia"/>
        </w:rPr>
        <w:t>三、大同市第二十</w:t>
      </w:r>
      <w:r>
        <w:rPr>
          <w:rFonts w:hint="eastAsia"/>
          <w:lang w:val="en-US" w:eastAsia="zh-CN"/>
        </w:rPr>
        <w:t>一</w:t>
      </w:r>
      <w:r>
        <w:rPr>
          <w:rFonts w:hint="eastAsia"/>
        </w:rPr>
        <w:t>中学校2022年预算支出总表</w:t>
      </w:r>
      <w:bookmarkEnd w:id="3"/>
    </w:p>
    <w:tbl>
      <w:tblPr>
        <w:tblStyle w:val="9"/>
        <w:tblpPr w:leftFromText="180" w:rightFromText="180" w:vertAnchor="text" w:horzAnchor="page" w:tblpX="1255" w:tblpY="636"/>
        <w:tblOverlap w:val="never"/>
        <w:tblW w:w="91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12"/>
        <w:gridCol w:w="3396"/>
        <w:gridCol w:w="1275"/>
        <w:gridCol w:w="1200"/>
        <w:gridCol w:w="14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81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39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27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17"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9100"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39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27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617"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2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389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1,044.14</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890.14</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[205]教育支出</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656.93</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[20502]普通教育</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656.93</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2050203</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[2050203]初中教育</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656.93</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[208]社会保障和就业支出</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[20805]行政事业单位养老支出</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[2080502]事业单位离退休</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[2080505]机关事业单位基本养老保险缴费支出</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[210]卫生健康支出</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210</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[21011]行政事业单位医疗</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2101102</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[2101102]事业单位医疗</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[221]住房保障支出</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[22102]住房改革支出</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[2210201]住房公积金</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w:t>
            </w:r>
          </w:p>
        </w:tc>
        <w:tc>
          <w:tcPr>
            <w:tcW w:w="3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[2210202]提租补贴</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bl>
    <w:p>
      <w:pPr>
        <w:ind w:left="1773" w:leftChars="304" w:hanging="800" w:hangingChars="250"/>
        <w:rPr>
          <w:rFonts w:hint="eastAsia" w:ascii="仿宋_GB2312" w:hAnsi="楷体" w:eastAsia="仿宋_GB2312"/>
          <w:sz w:val="32"/>
          <w:szCs w:val="32"/>
        </w:rPr>
      </w:pPr>
    </w:p>
    <w:p>
      <w:pPr>
        <w:ind w:left="1773" w:leftChars="304" w:hanging="800" w:hangingChars="250"/>
        <w:rPr>
          <w:rFonts w:hint="eastAsia" w:ascii="仿宋_GB2312" w:hAnsi="楷体" w:eastAsia="仿宋_GB2312"/>
          <w:sz w:val="32"/>
          <w:szCs w:val="32"/>
        </w:rPr>
      </w:pPr>
    </w:p>
    <w:p>
      <w:pPr>
        <w:ind w:left="1773" w:leftChars="304" w:hanging="800" w:hangingChars="250"/>
        <w:rPr>
          <w:rFonts w:hint="eastAsia" w:ascii="仿宋_GB2312" w:hAnsi="楷体" w:eastAsia="仿宋_GB2312"/>
          <w:sz w:val="32"/>
          <w:szCs w:val="32"/>
        </w:rPr>
      </w:pPr>
    </w:p>
    <w:p>
      <w:pPr>
        <w:ind w:left="1773" w:leftChars="304" w:hanging="800" w:hangingChars="250"/>
        <w:rPr>
          <w:rFonts w:hint="eastAsia" w:ascii="仿宋_GB2312" w:hAnsi="楷体" w:eastAsia="仿宋_GB2312"/>
          <w:sz w:val="32"/>
          <w:szCs w:val="32"/>
        </w:rPr>
      </w:pPr>
    </w:p>
    <w:p>
      <w:pPr>
        <w:ind w:left="1773" w:leftChars="304" w:hanging="800" w:hangingChars="250"/>
        <w:rPr>
          <w:rFonts w:hint="eastAsia" w:ascii="仿宋_GB2312" w:hAnsi="楷体" w:eastAsia="仿宋_GB2312"/>
          <w:sz w:val="32"/>
          <w:szCs w:val="32"/>
        </w:rPr>
      </w:pPr>
    </w:p>
    <w:p>
      <w:pPr>
        <w:ind w:left="1773" w:leftChars="304" w:hanging="800" w:hangingChars="250"/>
        <w:rPr>
          <w:rFonts w:hint="eastAsia" w:ascii="仿宋_GB2312" w:hAnsi="楷体" w:eastAsia="仿宋_GB2312"/>
          <w:sz w:val="32"/>
          <w:szCs w:val="32"/>
        </w:rPr>
      </w:pPr>
    </w:p>
    <w:p>
      <w:pPr>
        <w:ind w:left="1773" w:leftChars="304" w:hanging="800" w:hangingChars="250"/>
        <w:rPr>
          <w:rFonts w:hint="eastAsia" w:ascii="仿宋_GB2312" w:hAnsi="楷体" w:eastAsia="仿宋_GB2312"/>
          <w:sz w:val="32"/>
          <w:szCs w:val="32"/>
        </w:rPr>
      </w:pPr>
    </w:p>
    <w:p>
      <w:pPr>
        <w:pStyle w:val="3"/>
        <w:bidi w:val="0"/>
        <w:rPr>
          <w:rFonts w:hint="eastAsia"/>
        </w:rPr>
      </w:pPr>
      <w:bookmarkStart w:id="4" w:name="_Toc6608"/>
      <w:r>
        <w:rPr>
          <w:rFonts w:hint="eastAsia"/>
        </w:rPr>
        <w:t>四、大同市第二十</w:t>
      </w:r>
      <w:r>
        <w:rPr>
          <w:rFonts w:hint="eastAsia"/>
          <w:lang w:val="en-US" w:eastAsia="zh-CN"/>
        </w:rPr>
        <w:t>一</w:t>
      </w:r>
      <w:r>
        <w:rPr>
          <w:rFonts w:hint="eastAsia"/>
        </w:rPr>
        <w:t>中学校2022年财政拨款收支总表</w:t>
      </w:r>
      <w:bookmarkEnd w:id="4"/>
    </w:p>
    <w:tbl>
      <w:tblPr>
        <w:tblStyle w:val="9"/>
        <w:tblpPr w:leftFromText="180" w:rightFromText="180" w:vertAnchor="text" w:horzAnchor="page" w:tblpX="1044" w:tblpY="829"/>
        <w:tblOverlap w:val="never"/>
        <w:tblW w:w="100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16"/>
        <w:gridCol w:w="1106"/>
        <w:gridCol w:w="2378"/>
        <w:gridCol w:w="925"/>
        <w:gridCol w:w="1061"/>
        <w:gridCol w:w="914"/>
        <w:gridCol w:w="14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0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37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61"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364"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10050"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00" w:hRule="atLeast"/>
        </w:trPr>
        <w:tc>
          <w:tcPr>
            <w:tcW w:w="221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0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37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61"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364"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33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收入</w:t>
            </w:r>
          </w:p>
        </w:tc>
        <w:tc>
          <w:tcPr>
            <w:tcW w:w="672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23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435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23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ind w:left="0" w:leftChars="0" w:firstLine="0" w:firstLineChars="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101.66</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101.66</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91.97</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91.97</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00" w:hRule="atLeast"/>
        </w:trPr>
        <w:tc>
          <w:tcPr>
            <w:tcW w:w="2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2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1,044.14</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ind w:left="0" w:leftChars="0" w:firstLine="0" w:firstLineChars="0"/>
        <w:rPr>
          <w:rFonts w:hint="eastAsia" w:ascii="仿宋_GB2312" w:hAnsi="楷体" w:eastAsia="仿宋_GB2312"/>
          <w:sz w:val="32"/>
          <w:szCs w:val="32"/>
        </w:rPr>
      </w:pPr>
    </w:p>
    <w:p>
      <w:pPr>
        <w:pStyle w:val="3"/>
        <w:numPr>
          <w:ilvl w:val="0"/>
          <w:numId w:val="2"/>
        </w:numPr>
        <w:bidi w:val="0"/>
        <w:rPr>
          <w:rFonts w:hint="eastAsia"/>
        </w:rPr>
      </w:pPr>
      <w:bookmarkStart w:id="5" w:name="_Toc12016"/>
      <w:r>
        <w:rPr>
          <w:rFonts w:hint="eastAsia"/>
        </w:rPr>
        <w:t>大同市第二十</w:t>
      </w:r>
      <w:r>
        <w:rPr>
          <w:rFonts w:hint="eastAsia"/>
          <w:lang w:val="en-US" w:eastAsia="zh-CN"/>
        </w:rPr>
        <w:t>一</w:t>
      </w:r>
      <w:r>
        <w:rPr>
          <w:rFonts w:hint="eastAsia"/>
        </w:rPr>
        <w:t>中学校2022年一般公共预算支出预算表</w:t>
      </w:r>
      <w:bookmarkEnd w:id="5"/>
    </w:p>
    <w:tbl>
      <w:tblPr>
        <w:tblStyle w:val="9"/>
        <w:tblW w:w="9425" w:type="dxa"/>
        <w:tblInd w:w="-3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50"/>
        <w:gridCol w:w="3025"/>
        <w:gridCol w:w="1150"/>
        <w:gridCol w:w="1075"/>
        <w:gridCol w:w="11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05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0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5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200"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9425"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2022年一般公共预算支出预算表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部门:[050057]大同市第二十一中学校</w:t>
            </w:r>
          </w:p>
        </w:tc>
        <w:tc>
          <w:tcPr>
            <w:tcW w:w="30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5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7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125"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33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1,044.14</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890.14</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[205]教育支出</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656.93</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[20502]普通教育</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810.93</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656.93</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2050203</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[2050203]初中教育</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810.93</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656.93</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[208]社会保障和就业支出</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[20805]行政事业单位养老支出</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101.66</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[2080502]事业单位离退休</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[2080505]机关事业单位基本养老保险缴费支出</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[210]卫生健康支出</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[21011]行政事业单位医疗</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39.58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2101102</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[2101102]事业单位医疗</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39.58</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[221]住房保障支出</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[22102]住房改革支出</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b/>
                <w:bCs/>
                <w:i w:val="0"/>
                <w:iCs w:val="0"/>
                <w:color w:val="000000"/>
                <w:sz w:val="20"/>
                <w:szCs w:val="20"/>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91.97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2210201</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[2210201]住房公积金</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[2210202]提租补贴</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numPr>
          <w:ilvl w:val="0"/>
          <w:numId w:val="0"/>
        </w:numPr>
        <w:ind w:left="210" w:leftChars="0"/>
        <w:rPr>
          <w:rFonts w:hint="eastAsia" w:ascii="仿宋_GB2312" w:hAnsi="楷体" w:eastAsia="仿宋_GB2312"/>
          <w:sz w:val="32"/>
          <w:szCs w:val="32"/>
        </w:rPr>
      </w:pPr>
    </w:p>
    <w:p>
      <w:pPr>
        <w:pStyle w:val="3"/>
        <w:bidi w:val="0"/>
        <w:rPr>
          <w:rFonts w:hint="eastAsia"/>
        </w:rPr>
      </w:pPr>
      <w:bookmarkStart w:id="6" w:name="_Toc18041"/>
      <w:r>
        <w:rPr>
          <w:rFonts w:hint="eastAsia"/>
        </w:rPr>
        <w:t>六、大同市第二十</w:t>
      </w:r>
      <w:r>
        <w:rPr>
          <w:rFonts w:hint="eastAsia"/>
          <w:lang w:val="en-US" w:eastAsia="zh-CN"/>
        </w:rPr>
        <w:t>一</w:t>
      </w:r>
      <w:r>
        <w:rPr>
          <w:rFonts w:hint="eastAsia"/>
        </w:rPr>
        <w:t>中学校2022年一般公共预算安排基本支出分经济科目表</w:t>
      </w:r>
      <w:bookmarkEnd w:id="6"/>
    </w:p>
    <w:tbl>
      <w:tblPr>
        <w:tblStyle w:val="9"/>
        <w:tblW w:w="779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116"/>
        <w:gridCol w:w="2556"/>
        <w:gridCol w:w="21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1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55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125"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7797" w:type="dxa"/>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一般公共预算安排基本支出分经济科目表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1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55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125"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经济科目名称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0"/>
                <w:szCs w:val="20"/>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890.14</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505</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826.72</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[50501]工资福利支出</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826.72</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50502</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32.89</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[5050299]商品和服务支出</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32.89</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50601</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19.80</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[5060199]资本性支出（一）</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19.80</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509</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10.74</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[50901]社会福利和救助</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0.18</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pStyle w:val="3"/>
        <w:bidi w:val="0"/>
        <w:rPr>
          <w:rFonts w:hint="eastAsia"/>
        </w:rPr>
      </w:pPr>
    </w:p>
    <w:p>
      <w:pPr>
        <w:pStyle w:val="3"/>
        <w:bidi w:val="0"/>
        <w:rPr>
          <w:rFonts w:hint="eastAsia"/>
        </w:rPr>
      </w:pPr>
    </w:p>
    <w:p>
      <w:pPr>
        <w:pStyle w:val="3"/>
        <w:bidi w:val="0"/>
        <w:rPr>
          <w:rFonts w:hint="eastAsia"/>
        </w:rPr>
      </w:pPr>
      <w:bookmarkStart w:id="7" w:name="_Toc16336"/>
      <w:r>
        <w:rPr>
          <w:rFonts w:hint="eastAsia"/>
        </w:rPr>
        <w:t>七、大同市第二十</w:t>
      </w:r>
      <w:r>
        <w:rPr>
          <w:rFonts w:hint="eastAsia"/>
          <w:lang w:val="en-US" w:eastAsia="zh-CN"/>
        </w:rPr>
        <w:t>一</w:t>
      </w:r>
      <w:r>
        <w:rPr>
          <w:rFonts w:hint="eastAsia"/>
        </w:rPr>
        <w:t>中学校2022年政府性基金预算收入预算表</w:t>
      </w:r>
      <w:bookmarkEnd w:id="7"/>
    </w:p>
    <w:tbl>
      <w:tblPr>
        <w:tblStyle w:val="9"/>
        <w:tblW w:w="677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48"/>
        <w:gridCol w:w="2148"/>
        <w:gridCol w:w="30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54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14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07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6772" w:type="dxa"/>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2022年政府性基金预算收入表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54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14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07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30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2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30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2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3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bidi w:val="0"/>
        <w:rPr>
          <w:rFonts w:hint="eastAsia"/>
        </w:rPr>
      </w:pPr>
    </w:p>
    <w:p>
      <w:pPr>
        <w:bidi w:val="0"/>
        <w:rPr>
          <w:rFonts w:hint="eastAsia"/>
        </w:rPr>
      </w:pPr>
    </w:p>
    <w:p>
      <w:pPr>
        <w:bidi w:val="0"/>
        <w:rPr>
          <w:rFonts w:hint="eastAsia"/>
        </w:rPr>
      </w:pPr>
    </w:p>
    <w:p>
      <w:pPr>
        <w:pStyle w:val="3"/>
        <w:bidi w:val="0"/>
        <w:rPr>
          <w:rFonts w:hint="eastAsia"/>
        </w:rPr>
      </w:pPr>
      <w:bookmarkStart w:id="8" w:name="_Toc1504"/>
      <w:r>
        <w:rPr>
          <w:rFonts w:hint="eastAsia"/>
        </w:rPr>
        <w:t>八、大同市第二十</w:t>
      </w:r>
      <w:r>
        <w:rPr>
          <w:rFonts w:hint="eastAsia"/>
          <w:lang w:val="en-US" w:eastAsia="zh-CN"/>
        </w:rPr>
        <w:t>一</w:t>
      </w:r>
      <w:r>
        <w:rPr>
          <w:rFonts w:hint="eastAsia"/>
        </w:rPr>
        <w:t>中学校2022年政府性基金预算支出预算表</w:t>
      </w:r>
      <w:bookmarkEnd w:id="8"/>
    </w:p>
    <w:tbl>
      <w:tblPr>
        <w:tblStyle w:val="9"/>
        <w:tblW w:w="81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6"/>
        <w:gridCol w:w="3600"/>
        <w:gridCol w:w="29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48"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360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962"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政府性基金支出预算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pStyle w:val="3"/>
        <w:bidi w:val="0"/>
        <w:rPr>
          <w:rFonts w:hint="eastAsia"/>
        </w:rPr>
      </w:pPr>
    </w:p>
    <w:p>
      <w:pPr>
        <w:pStyle w:val="3"/>
        <w:bidi w:val="0"/>
        <w:rPr>
          <w:rFonts w:hint="eastAsia"/>
        </w:rPr>
      </w:pPr>
    </w:p>
    <w:p>
      <w:pPr>
        <w:pStyle w:val="3"/>
        <w:bidi w:val="0"/>
        <w:rPr>
          <w:rFonts w:hint="eastAsia"/>
        </w:rPr>
      </w:pPr>
    </w:p>
    <w:p>
      <w:pPr>
        <w:pStyle w:val="3"/>
        <w:bidi w:val="0"/>
        <w:rPr>
          <w:rFonts w:hint="eastAsia"/>
        </w:rPr>
      </w:pPr>
      <w:bookmarkStart w:id="9" w:name="_Toc1955"/>
      <w:r>
        <w:rPr>
          <w:rFonts w:hint="eastAsia"/>
        </w:rPr>
        <w:t>九、大同市第二十</w:t>
      </w:r>
      <w:r>
        <w:rPr>
          <w:rFonts w:hint="eastAsia"/>
          <w:lang w:val="en-US" w:eastAsia="zh-CN"/>
        </w:rPr>
        <w:t>一</w:t>
      </w:r>
      <w:r>
        <w:rPr>
          <w:rFonts w:hint="eastAsia"/>
        </w:rPr>
        <w:t>中学校2022年国有资本经营预算收支预算表</w:t>
      </w:r>
      <w:bookmarkEnd w:id="9"/>
    </w:p>
    <w:tbl>
      <w:tblPr>
        <w:tblStyle w:val="9"/>
        <w:tblpPr w:leftFromText="180" w:rightFromText="180" w:vertAnchor="text" w:horzAnchor="page" w:tblpX="1355" w:tblpY="741"/>
        <w:tblOverlap w:val="never"/>
        <w:tblW w:w="95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6"/>
        <w:gridCol w:w="1209"/>
        <w:gridCol w:w="1600"/>
        <w:gridCol w:w="1125"/>
        <w:gridCol w:w="1400"/>
        <w:gridCol w:w="825"/>
        <w:gridCol w:w="1100"/>
        <w:gridCol w:w="11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11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9"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60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40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225"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950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2022年国有资本经营预算收支预算表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11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9"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60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40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25"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225"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92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国有资本经营预算收入</w:t>
            </w:r>
          </w:p>
        </w:tc>
        <w:tc>
          <w:tcPr>
            <w:tcW w:w="55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3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国有资本经营收入预算</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left"/>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0" w:leftChars="0" w:firstLine="0" w:firstLineChars="0"/>
              <w:jc w:val="right"/>
              <w:rPr>
                <w:rFonts w:hint="eastAsia" w:ascii="宋体" w:hAnsi="宋体" w:eastAsia="宋体" w:cs="宋体"/>
                <w:i w:val="0"/>
                <w:iCs w:val="0"/>
                <w:color w:val="000000"/>
                <w:sz w:val="20"/>
                <w:szCs w:val="20"/>
                <w:u w:val="none"/>
              </w:rPr>
            </w:pPr>
          </w:p>
        </w:tc>
      </w:tr>
    </w:tbl>
    <w:p>
      <w:pPr>
        <w:bidi w:val="0"/>
        <w:ind w:left="0" w:leftChars="0" w:firstLine="0" w:firstLineChars="0"/>
        <w:rPr>
          <w:rFonts w:hint="eastAsia"/>
        </w:rPr>
      </w:pPr>
    </w:p>
    <w:p>
      <w:pPr>
        <w:bidi w:val="0"/>
        <w:rPr>
          <w:rFonts w:hint="eastAsia"/>
        </w:rPr>
      </w:pPr>
    </w:p>
    <w:p>
      <w:pPr>
        <w:bidi w:val="0"/>
        <w:rPr>
          <w:rFonts w:hint="eastAsia"/>
        </w:rPr>
      </w:pPr>
    </w:p>
    <w:p>
      <w:pPr>
        <w:bidi w:val="0"/>
        <w:rPr>
          <w:rFonts w:hint="eastAsia"/>
        </w:rPr>
      </w:pPr>
    </w:p>
    <w:p>
      <w:pPr>
        <w:pStyle w:val="3"/>
        <w:bidi w:val="0"/>
        <w:rPr>
          <w:rFonts w:hint="eastAsia"/>
        </w:rPr>
      </w:pPr>
      <w:bookmarkStart w:id="10" w:name="_Toc2038"/>
      <w:r>
        <w:rPr>
          <w:rFonts w:hint="eastAsia"/>
        </w:rPr>
        <w:t>十、大同市第二十</w:t>
      </w:r>
      <w:r>
        <w:rPr>
          <w:rFonts w:hint="eastAsia"/>
          <w:lang w:val="en-US" w:eastAsia="zh-CN"/>
        </w:rPr>
        <w:t>一</w:t>
      </w:r>
      <w:r>
        <w:rPr>
          <w:rFonts w:hint="eastAsia"/>
        </w:rPr>
        <w:t>中学校2022年“三公”经费支出预算表</w:t>
      </w:r>
      <w:bookmarkEnd w:id="10"/>
    </w:p>
    <w:tbl>
      <w:tblPr>
        <w:tblStyle w:val="9"/>
        <w:tblW w:w="812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84"/>
        <w:gridCol w:w="47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4"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738"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122" w:type="dxa"/>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2022年一般公共预算“三公”经费支出情况统计表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4"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738"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4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4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4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①公务用车购置费</w:t>
            </w:r>
          </w:p>
        </w:tc>
        <w:tc>
          <w:tcPr>
            <w:tcW w:w="4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②公务用车运行维护费</w:t>
            </w:r>
          </w:p>
        </w:tc>
        <w:tc>
          <w:tcPr>
            <w:tcW w:w="4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bl>
    <w:p>
      <w:pPr>
        <w:bidi w:val="0"/>
        <w:rPr>
          <w:rFonts w:hint="eastAsia"/>
        </w:rPr>
      </w:pPr>
    </w:p>
    <w:p>
      <w:pPr>
        <w:bidi w:val="0"/>
        <w:rPr>
          <w:rFonts w:hint="eastAsia"/>
        </w:rPr>
      </w:pPr>
    </w:p>
    <w:p>
      <w:pPr>
        <w:bidi w:val="0"/>
        <w:rPr>
          <w:rFonts w:hint="eastAsia"/>
        </w:rPr>
      </w:pPr>
    </w:p>
    <w:p>
      <w:pPr>
        <w:pStyle w:val="3"/>
        <w:bidi w:val="0"/>
        <w:rPr>
          <w:rFonts w:hint="eastAsia"/>
        </w:rPr>
      </w:pPr>
      <w:bookmarkStart w:id="11" w:name="_Toc12761"/>
      <w:r>
        <w:rPr>
          <w:rFonts w:hint="eastAsia"/>
        </w:rPr>
        <w:t>十一、大同市第二十</w:t>
      </w:r>
      <w:r>
        <w:rPr>
          <w:rFonts w:hint="eastAsia"/>
          <w:lang w:val="en-US" w:eastAsia="zh-CN"/>
        </w:rPr>
        <w:t>一</w:t>
      </w:r>
      <w:r>
        <w:rPr>
          <w:rFonts w:hint="eastAsia"/>
        </w:rPr>
        <w:t>中学校2022年机关运行经费预算财政拨款情况表</w:t>
      </w:r>
      <w:bookmarkEnd w:id="11"/>
    </w:p>
    <w:tbl>
      <w:tblPr>
        <w:tblStyle w:val="9"/>
        <w:tblW w:w="809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6"/>
        <w:gridCol w:w="2196"/>
        <w:gridCol w:w="44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416"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219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485"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097" w:type="dxa"/>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2022年机关运行经费预算财政拨款情况统计表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4485"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单位名称</w:t>
            </w:r>
          </w:p>
        </w:tc>
        <w:tc>
          <w:tcPr>
            <w:tcW w:w="4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44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jc w:val="center"/>
        <w:rPr>
          <w:rFonts w:hint="eastAsia" w:ascii="华文中宋" w:hAnsi="华文中宋" w:eastAsia="华文中宋"/>
          <w:sz w:val="36"/>
          <w:szCs w:val="36"/>
        </w:rPr>
      </w:pPr>
    </w:p>
    <w:p>
      <w:pPr>
        <w:jc w:val="center"/>
        <w:rPr>
          <w:rFonts w:hint="eastAsia" w:ascii="华文中宋" w:hAnsi="华文中宋" w:eastAsia="华文中宋"/>
          <w:sz w:val="36"/>
          <w:szCs w:val="36"/>
        </w:rPr>
      </w:pPr>
    </w:p>
    <w:p>
      <w:pPr>
        <w:jc w:val="center"/>
        <w:rPr>
          <w:rFonts w:hint="eastAsia" w:ascii="华文中宋" w:hAnsi="华文中宋" w:eastAsia="华文中宋"/>
          <w:sz w:val="36"/>
          <w:szCs w:val="36"/>
        </w:rPr>
      </w:pPr>
    </w:p>
    <w:p>
      <w:pPr>
        <w:jc w:val="center"/>
        <w:rPr>
          <w:rFonts w:hint="eastAsia" w:ascii="华文中宋" w:hAnsi="华文中宋" w:eastAsia="华文中宋"/>
          <w:sz w:val="36"/>
          <w:szCs w:val="36"/>
        </w:rPr>
      </w:pPr>
    </w:p>
    <w:p>
      <w:pPr>
        <w:jc w:val="center"/>
        <w:rPr>
          <w:rFonts w:hint="eastAsia" w:ascii="华文中宋" w:hAnsi="华文中宋" w:eastAsia="华文中宋"/>
          <w:sz w:val="36"/>
          <w:szCs w:val="36"/>
        </w:rPr>
      </w:pPr>
    </w:p>
    <w:p>
      <w:pPr>
        <w:pStyle w:val="2"/>
        <w:bidi w:val="0"/>
        <w:rPr>
          <w:rFonts w:hint="eastAsia"/>
        </w:rPr>
      </w:pPr>
      <w:bookmarkStart w:id="12" w:name="_Toc16517"/>
      <w:r>
        <w:rPr>
          <w:rFonts w:hint="eastAsia"/>
        </w:rPr>
        <w:t>第三部分  2022年度部门（单位）预算情况说明</w:t>
      </w:r>
      <w:bookmarkEnd w:id="12"/>
    </w:p>
    <w:p>
      <w:pPr>
        <w:jc w:val="center"/>
        <w:rPr>
          <w:rFonts w:hint="eastAsia" w:ascii="华文中宋" w:hAnsi="华文中宋" w:eastAsia="华文中宋"/>
          <w:sz w:val="36"/>
          <w:szCs w:val="36"/>
        </w:rPr>
      </w:pPr>
    </w:p>
    <w:p>
      <w:pPr>
        <w:pStyle w:val="3"/>
        <w:bidi w:val="0"/>
        <w:rPr>
          <w:rFonts w:hint="eastAsia"/>
        </w:rPr>
      </w:pPr>
      <w:bookmarkStart w:id="13" w:name="_Toc2229"/>
      <w:r>
        <w:rPr>
          <w:rFonts w:hint="eastAsia"/>
        </w:rPr>
        <w:t>一、2022年度部门预算数据变动情况及原因</w:t>
      </w:r>
      <w:bookmarkEnd w:id="13"/>
    </w:p>
    <w:p>
      <w:pPr>
        <w:bidi w:val="0"/>
        <w:rPr>
          <w:rFonts w:hint="eastAsia"/>
        </w:rPr>
      </w:pPr>
      <w:r>
        <w:rPr>
          <w:rFonts w:hint="eastAsia"/>
        </w:rPr>
        <w:t>2022 年</w:t>
      </w:r>
      <w:r>
        <w:rPr>
          <w:rFonts w:hint="eastAsia"/>
          <w:lang w:val="en-US" w:eastAsia="zh-CN"/>
        </w:rPr>
        <w:t>大同市第二十一中学校收入预算1044.14万元，与上年年初预算972.82万元比较增加71.32万元，增幅7.3%。主要原因是人员增加使得工资和社保增加。</w:t>
      </w:r>
    </w:p>
    <w:p>
      <w:pPr>
        <w:bidi w:val="0"/>
        <w:rPr>
          <w:rFonts w:hint="eastAsia"/>
        </w:rPr>
      </w:pPr>
      <w:r>
        <w:rPr>
          <w:rFonts w:hint="eastAsia"/>
        </w:rPr>
        <w:t>大同二十</w:t>
      </w:r>
      <w:r>
        <w:rPr>
          <w:rFonts w:hint="eastAsia"/>
          <w:lang w:val="en-US" w:eastAsia="zh-CN"/>
        </w:rPr>
        <w:t>一</w:t>
      </w:r>
      <w:r>
        <w:rPr>
          <w:rFonts w:hint="eastAsia"/>
        </w:rPr>
        <w:t>中</w:t>
      </w:r>
      <w:r>
        <w:rPr>
          <w:rFonts w:hint="eastAsia"/>
          <w:lang w:val="en-US" w:eastAsia="zh-CN"/>
        </w:rPr>
        <w:t>学校</w:t>
      </w:r>
      <w:r>
        <w:rPr>
          <w:rFonts w:hint="eastAsia"/>
        </w:rPr>
        <w:t>202</w:t>
      </w:r>
      <w:r>
        <w:rPr>
          <w:rFonts w:hint="eastAsia"/>
          <w:lang w:val="en-US" w:eastAsia="zh-CN"/>
        </w:rPr>
        <w:t>2</w:t>
      </w:r>
      <w:r>
        <w:rPr>
          <w:rFonts w:hint="eastAsia"/>
        </w:rPr>
        <w:t>年共计预算支出</w:t>
      </w:r>
      <w:r>
        <w:rPr>
          <w:rFonts w:hint="eastAsia"/>
          <w:lang w:val="en-US" w:eastAsia="zh-CN"/>
        </w:rPr>
        <w:t>1044.14</w:t>
      </w:r>
      <w:r>
        <w:rPr>
          <w:rFonts w:hint="eastAsia"/>
        </w:rPr>
        <w:t>万元。其中：教育支出：</w:t>
      </w:r>
      <w:r>
        <w:rPr>
          <w:rFonts w:hint="eastAsia"/>
          <w:lang w:val="en-US" w:eastAsia="zh-CN"/>
        </w:rPr>
        <w:t>810.93</w:t>
      </w:r>
      <w:r>
        <w:rPr>
          <w:rFonts w:hint="eastAsia"/>
        </w:rPr>
        <w:t>万元；社会保障和就业支出：</w:t>
      </w:r>
      <w:r>
        <w:rPr>
          <w:rFonts w:hint="eastAsia"/>
          <w:lang w:val="en-US" w:eastAsia="zh-CN"/>
        </w:rPr>
        <w:t>101.66</w:t>
      </w:r>
      <w:r>
        <w:rPr>
          <w:rFonts w:hint="eastAsia"/>
        </w:rPr>
        <w:t>万元；卫生健康支出：</w:t>
      </w:r>
      <w:r>
        <w:rPr>
          <w:rFonts w:hint="eastAsia"/>
          <w:lang w:val="en-US" w:eastAsia="zh-CN"/>
        </w:rPr>
        <w:t>39.58</w:t>
      </w:r>
      <w:r>
        <w:rPr>
          <w:rFonts w:hint="eastAsia"/>
        </w:rPr>
        <w:t>万元；住房保障支出：</w:t>
      </w:r>
      <w:r>
        <w:rPr>
          <w:rFonts w:hint="eastAsia"/>
          <w:lang w:val="en-US" w:eastAsia="zh-CN"/>
        </w:rPr>
        <w:t>91.97</w:t>
      </w:r>
      <w:r>
        <w:rPr>
          <w:rFonts w:hint="eastAsia"/>
        </w:rPr>
        <w:t>万元，共计支出：</w:t>
      </w:r>
      <w:r>
        <w:rPr>
          <w:rFonts w:hint="eastAsia"/>
          <w:lang w:val="en-US" w:eastAsia="zh-CN"/>
        </w:rPr>
        <w:t>1044.14</w:t>
      </w:r>
      <w:r>
        <w:rPr>
          <w:rFonts w:hint="eastAsia"/>
        </w:rPr>
        <w:t>万元。</w:t>
      </w:r>
    </w:p>
    <w:p>
      <w:pPr>
        <w:pStyle w:val="3"/>
        <w:bidi w:val="0"/>
        <w:rPr>
          <w:rFonts w:hint="eastAsia"/>
        </w:rPr>
      </w:pPr>
      <w:bookmarkStart w:id="14" w:name="_Toc18429"/>
      <w:r>
        <w:rPr>
          <w:rFonts w:hint="eastAsia"/>
        </w:rPr>
        <w:t>二、“三公”经费增减变动原因说明</w:t>
      </w:r>
      <w:bookmarkEnd w:id="14"/>
    </w:p>
    <w:p>
      <w:pPr>
        <w:bidi w:val="0"/>
        <w:rPr>
          <w:rFonts w:hint="eastAsia"/>
        </w:rPr>
      </w:pPr>
      <w:r>
        <w:rPr>
          <w:rFonts w:hint="eastAsia"/>
          <w:lang w:val="en-US" w:eastAsia="zh-CN"/>
        </w:rPr>
        <w:t>2022年我单位</w:t>
      </w:r>
      <w:r>
        <w:rPr>
          <w:rFonts w:hint="eastAsia"/>
        </w:rPr>
        <w:t>无“三公”经费。</w:t>
      </w:r>
    </w:p>
    <w:p>
      <w:pPr>
        <w:pStyle w:val="3"/>
        <w:bidi w:val="0"/>
        <w:rPr>
          <w:rFonts w:hint="eastAsia"/>
        </w:rPr>
      </w:pPr>
      <w:bookmarkStart w:id="15" w:name="_Toc9547"/>
      <w:r>
        <w:rPr>
          <w:rFonts w:hint="eastAsia"/>
        </w:rPr>
        <w:t>三、机关运行经费增减变动原因说明</w:t>
      </w:r>
      <w:bookmarkEnd w:id="15"/>
    </w:p>
    <w:p>
      <w:pPr>
        <w:bidi w:val="0"/>
        <w:rPr>
          <w:rFonts w:hint="eastAsia"/>
          <w:lang w:eastAsia="zh-CN"/>
        </w:rPr>
      </w:pPr>
      <w:r>
        <w:rPr>
          <w:rFonts w:hint="eastAsia"/>
          <w:lang w:val="en-US" w:eastAsia="zh-CN"/>
        </w:rPr>
        <w:t>大同市第二十一中学校是财政全额拨款的事业单位，所以无机关运行经费。</w:t>
      </w:r>
    </w:p>
    <w:p>
      <w:pPr>
        <w:pStyle w:val="3"/>
        <w:bidi w:val="0"/>
        <w:rPr>
          <w:rFonts w:hint="eastAsia"/>
        </w:rPr>
      </w:pPr>
      <w:bookmarkStart w:id="16" w:name="_Toc21473"/>
      <w:r>
        <w:rPr>
          <w:rFonts w:hint="eastAsia"/>
        </w:rPr>
        <w:t>四、政府采购情况</w:t>
      </w:r>
      <w:bookmarkEnd w:id="16"/>
    </w:p>
    <w:p>
      <w:pPr>
        <w:ind w:firstLine="636"/>
        <w:rPr>
          <w:rFonts w:hint="eastAsia" w:ascii="仿宋_GB2312" w:hAnsi="仿宋" w:eastAsia="仿宋_GB2312"/>
          <w:sz w:val="32"/>
          <w:szCs w:val="32"/>
          <w:highlight w:val="none"/>
        </w:rPr>
      </w:pPr>
      <w:r>
        <w:rPr>
          <w:rFonts w:hint="eastAsia" w:ascii="仿宋_GB2312" w:hAnsi="仿宋" w:eastAsia="仿宋_GB2312"/>
          <w:sz w:val="32"/>
          <w:szCs w:val="32"/>
          <w:highlight w:val="none"/>
        </w:rPr>
        <w:t>2022年</w:t>
      </w:r>
      <w:r>
        <w:rPr>
          <w:rFonts w:hint="eastAsia" w:ascii="仿宋_GB2312" w:hAnsi="仿宋" w:eastAsia="仿宋_GB2312"/>
          <w:sz w:val="32"/>
          <w:szCs w:val="32"/>
          <w:highlight w:val="none"/>
          <w:lang w:val="en-US" w:eastAsia="zh-CN"/>
        </w:rPr>
        <w:t>大同市第二十一中学校</w:t>
      </w:r>
      <w:r>
        <w:rPr>
          <w:rFonts w:hint="eastAsia" w:ascii="仿宋_GB2312" w:hAnsi="仿宋" w:eastAsia="仿宋_GB2312"/>
          <w:sz w:val="32"/>
          <w:szCs w:val="32"/>
          <w:highlight w:val="none"/>
        </w:rPr>
        <w:t>政府采购预算总额</w:t>
      </w:r>
      <w:r>
        <w:rPr>
          <w:rFonts w:hint="eastAsia" w:ascii="仿宋_GB2312" w:hAnsi="仿宋" w:eastAsia="仿宋_GB2312"/>
          <w:sz w:val="32"/>
          <w:szCs w:val="32"/>
          <w:highlight w:val="none"/>
          <w:lang w:val="en-US" w:eastAsia="zh-CN"/>
        </w:rPr>
        <w:t>2.6</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val="en-US" w:eastAsia="zh-CN"/>
        </w:rPr>
        <w:t>主要是</w:t>
      </w:r>
      <w:r>
        <w:rPr>
          <w:rFonts w:hint="eastAsia" w:ascii="仿宋_GB2312" w:hAnsi="仿宋" w:eastAsia="仿宋_GB2312"/>
          <w:sz w:val="32"/>
          <w:szCs w:val="32"/>
          <w:highlight w:val="none"/>
        </w:rPr>
        <w:t>政府采购货物预算</w:t>
      </w:r>
      <w:r>
        <w:rPr>
          <w:rFonts w:hint="eastAsia" w:ascii="仿宋_GB2312" w:hAnsi="仿宋" w:eastAsia="仿宋_GB2312"/>
          <w:sz w:val="32"/>
          <w:szCs w:val="32"/>
          <w:highlight w:val="none"/>
          <w:lang w:val="en-US" w:eastAsia="zh-CN"/>
        </w:rPr>
        <w:t>2.6</w:t>
      </w:r>
      <w:r>
        <w:rPr>
          <w:rFonts w:hint="eastAsia" w:ascii="仿宋_GB2312" w:hAnsi="仿宋" w:eastAsia="仿宋_GB2312"/>
          <w:sz w:val="32"/>
          <w:szCs w:val="32"/>
          <w:highlight w:val="none"/>
        </w:rPr>
        <w:t>万元。</w:t>
      </w:r>
    </w:p>
    <w:p>
      <w:pPr>
        <w:bidi w:val="0"/>
        <w:rPr>
          <w:rFonts w:hint="eastAsia"/>
        </w:rPr>
      </w:pPr>
      <w:r>
        <w:rPr>
          <w:rFonts w:hint="eastAsia"/>
        </w:rPr>
        <w:t>（注：无政府采购情况的部门，必须说明本部门没有政府采购情况。）</w:t>
      </w:r>
    </w:p>
    <w:p>
      <w:pPr>
        <w:pStyle w:val="3"/>
        <w:bidi w:val="0"/>
        <w:rPr>
          <w:rFonts w:hint="eastAsia"/>
        </w:rPr>
      </w:pPr>
      <w:bookmarkStart w:id="17" w:name="_Toc27855"/>
      <w:r>
        <w:rPr>
          <w:rFonts w:hint="eastAsia"/>
        </w:rPr>
        <w:t>五、绩效管理情况</w:t>
      </w:r>
      <w:bookmarkEnd w:id="17"/>
    </w:p>
    <w:p>
      <w:pPr>
        <w:bidi w:val="0"/>
        <w:rPr>
          <w:rFonts w:hint="default"/>
        </w:rPr>
      </w:pPr>
      <w:r>
        <w:rPr>
          <w:rFonts w:hint="eastAsia"/>
        </w:rPr>
        <w:t>绩效管理情况我单位在中绩效管理是一种提高组织员工的绩效和开发团队、个体的潜能，使组织不断获得成功的管理思想和具有战略意义的、整合的管理方法。通过绩效管理，可以帮助教职工实现其绩效的持续发展；促进形成一个以绩效为导向的学校文化；激励教职工，使他们的工作更加投入；促使员工开发自身的潜能，提高他们的工作满意感；增强团队凝聚力，改善团队绩效；通过不断的工作沟通和交流，发展教职工的主观能动性与管理者之间的建设性的、开放的关系；给员工提供表达自己的工作愿望和期望的机会。办让社会、家长、学生满意的学校。</w:t>
      </w:r>
    </w:p>
    <w:p>
      <w:pPr>
        <w:bidi w:val="0"/>
        <w:rPr>
          <w:rFonts w:hint="eastAsia"/>
        </w:rPr>
      </w:pPr>
    </w:p>
    <w:p>
      <w:pPr>
        <w:bidi w:val="0"/>
        <w:rPr>
          <w:rFonts w:hint="eastAsia"/>
        </w:rPr>
      </w:pPr>
      <w:r>
        <w:rPr>
          <w:rFonts w:hint="eastAsia"/>
        </w:rPr>
        <w:t>2022年</w:t>
      </w:r>
      <w:r>
        <w:rPr>
          <w:rFonts w:hint="eastAsia"/>
          <w:lang w:val="en-US" w:eastAsia="zh-CN"/>
        </w:rPr>
        <w:t>大同市第二十一中学</w:t>
      </w:r>
      <w:r>
        <w:rPr>
          <w:rFonts w:hint="eastAsia"/>
        </w:rPr>
        <w:t>实行绩效目标管理的项目</w:t>
      </w:r>
      <w:r>
        <w:rPr>
          <w:rFonts w:hint="eastAsia"/>
          <w:lang w:val="en-US" w:eastAsia="zh-CN"/>
        </w:rPr>
        <w:t>5</w:t>
      </w:r>
      <w:r>
        <w:rPr>
          <w:rFonts w:hint="eastAsia"/>
        </w:rPr>
        <w:t>个，涉及一般公共预算当年拨款</w:t>
      </w:r>
      <w:r>
        <w:rPr>
          <w:rFonts w:hint="eastAsia"/>
          <w:lang w:val="en-US" w:eastAsia="zh-CN"/>
        </w:rPr>
        <w:t>154</w:t>
      </w:r>
      <w:r>
        <w:rPr>
          <w:rFonts w:hint="eastAsia"/>
        </w:rPr>
        <w:t>万元。</w:t>
      </w:r>
    </w:p>
    <w:p>
      <w:pPr>
        <w:bidi w:val="0"/>
        <w:rPr>
          <w:rFonts w:hint="eastAsia"/>
        </w:rPr>
      </w:pPr>
      <w:r>
        <w:rPr>
          <w:rFonts w:hint="eastAsia"/>
        </w:rPr>
        <w:t>绩效目标情况（鼓励附表说明）</w:t>
      </w:r>
    </w:p>
    <w:p>
      <w:pPr>
        <w:bidi w:val="0"/>
        <w:ind w:left="0" w:leftChars="0" w:firstLine="0" w:firstLineChars="0"/>
        <w:rPr>
          <w:rFonts w:hint="eastAsia" w:ascii="仿宋_GB2312" w:hAnsi="仿宋" w:eastAsia="仿宋_GB2312"/>
          <w:szCs w:val="32"/>
        </w:rPr>
      </w:pPr>
      <w:r>
        <w:rPr>
          <w:rFonts w:hint="eastAsia" w:ascii="仿宋_GB2312" w:hAnsi="仿宋" w:eastAsia="仿宋_GB2312"/>
          <w:szCs w:val="32"/>
        </w:rPr>
        <w:object>
          <v:shape id="_x0000_i1025" o:spt="75" type="#_x0000_t75" style="height:606.6pt;width:448pt;" o:ole="t" filled="f" o:preferrelative="t" stroked="f" coordsize="21600,21600">
            <v:path/>
            <v:fill on="f" focussize="0,0"/>
            <v:stroke on="f"/>
            <v:imagedata r:id="rId9" o:title=""/>
            <o:lock v:ext="edit" aspectratio="t"/>
            <w10:wrap type="none"/>
            <w10:anchorlock/>
          </v:shape>
          <o:OLEObject Type="Embed" ProgID="Excel.Sheet.8" ShapeID="_x0000_i1025" DrawAspect="Content" ObjectID="_1468075725" r:id="rId8">
            <o:LockedField>false</o:LockedField>
          </o:OLEObject>
        </w:object>
      </w:r>
      <w:r>
        <w:rPr>
          <w:rFonts w:hint="eastAsia" w:ascii="仿宋_GB2312" w:hAnsi="仿宋" w:eastAsia="仿宋_GB2312"/>
          <w:szCs w:val="32"/>
        </w:rPr>
        <w:object>
          <v:shape id="_x0000_i1026" o:spt="75" type="#_x0000_t75" style="height:606.6pt;width:447.95pt;" o:ole="t" filled="f" o:preferrelative="t" stroked="f" coordsize="21600,21600">
            <v:path/>
            <v:fill on="f" focussize="0,0"/>
            <v:stroke on="f"/>
            <v:imagedata r:id="rId11" o:title=""/>
            <o:lock v:ext="edit" aspectratio="t"/>
            <w10:wrap type="none"/>
            <w10:anchorlock/>
          </v:shape>
          <o:OLEObject Type="Embed" ProgID="Excel.Sheet.8" ShapeID="_x0000_i1026" DrawAspect="Content" ObjectID="_1468075726" r:id="rId10">
            <o:LockedField>false</o:LockedField>
          </o:OLEObject>
        </w:object>
      </w:r>
      <w:r>
        <w:rPr>
          <w:rFonts w:hint="eastAsia" w:ascii="仿宋_GB2312" w:hAnsi="仿宋" w:eastAsia="仿宋_GB2312"/>
          <w:szCs w:val="32"/>
        </w:rPr>
        <w:object>
          <v:shape id="_x0000_i1027" o:spt="75" type="#_x0000_t75" style="height:591.2pt;width:452.9pt;" o:ole="t" filled="f" o:preferrelative="t" stroked="f" coordsize="21600,21600">
            <v:path/>
            <v:fill on="f" focussize="0,0"/>
            <v:stroke on="f"/>
            <v:imagedata r:id="rId13" o:title=""/>
            <o:lock v:ext="edit" aspectratio="t"/>
            <w10:wrap type="none"/>
            <w10:anchorlock/>
          </v:shape>
          <o:OLEObject Type="Embed" ProgID="Excel.Sheet.8" ShapeID="_x0000_i1027" DrawAspect="Content" ObjectID="_1468075727" r:id="rId12">
            <o:LockedField>false</o:LockedField>
          </o:OLEObject>
        </w:object>
      </w:r>
      <w:r>
        <w:rPr>
          <w:rFonts w:hint="eastAsia" w:ascii="仿宋_GB2312" w:hAnsi="仿宋" w:eastAsia="仿宋_GB2312"/>
          <w:szCs w:val="32"/>
        </w:rPr>
        <w:object>
          <v:shape id="_x0000_i1028" o:spt="75" type="#_x0000_t75" style="height:636.9pt;width:447.95pt;" o:ole="t" filled="f" o:preferrelative="t" stroked="f" coordsize="21600,21600">
            <v:path/>
            <v:fill on="f" focussize="0,0"/>
            <v:stroke on="f"/>
            <v:imagedata r:id="rId15" o:title=""/>
            <o:lock v:ext="edit" aspectratio="t"/>
            <w10:wrap type="none"/>
            <w10:anchorlock/>
          </v:shape>
          <o:OLEObject Type="Embed" ProgID="Excel.Sheet.8" ShapeID="_x0000_i1028" DrawAspect="Content" ObjectID="_1468075728" r:id="rId14">
            <o:LockedField>false</o:LockedField>
          </o:OLEObject>
        </w:object>
      </w:r>
      <w:r>
        <w:rPr>
          <w:rFonts w:hint="eastAsia" w:ascii="仿宋_GB2312" w:hAnsi="仿宋" w:eastAsia="仿宋_GB2312"/>
          <w:szCs w:val="32"/>
        </w:rPr>
        <w:object>
          <v:shape id="_x0000_i1029" o:spt="75" type="#_x0000_t75" style="height:606.6pt;width:455.4pt;" o:ole="t" filled="f" o:preferrelative="t" stroked="f" coordsize="21600,21600">
            <v:path/>
            <v:fill on="f" focussize="0,0"/>
            <v:stroke on="f"/>
            <v:imagedata r:id="rId17" o:title=""/>
            <o:lock v:ext="edit" aspectratio="t"/>
            <w10:wrap type="none"/>
            <w10:anchorlock/>
          </v:shape>
          <o:OLEObject Type="Embed" ProgID="Excel.Sheet.8" ShapeID="_x0000_i1029" DrawAspect="Content" ObjectID="_1468075729" r:id="rId16">
            <o:LockedField>false</o:LockedField>
          </o:OLEObject>
        </w:object>
      </w:r>
    </w:p>
    <w:p>
      <w:pPr>
        <w:bidi w:val="0"/>
        <w:ind w:left="0" w:leftChars="0" w:firstLine="0" w:firstLineChars="0"/>
        <w:rPr>
          <w:rFonts w:hint="eastAsia" w:ascii="仿宋_GB2312" w:hAnsi="仿宋" w:eastAsia="仿宋_GB2312"/>
          <w:szCs w:val="32"/>
          <w:lang w:eastAsia="zh-CN"/>
        </w:rPr>
      </w:pPr>
    </w:p>
    <w:p>
      <w:pPr>
        <w:pStyle w:val="3"/>
        <w:bidi w:val="0"/>
        <w:rPr>
          <w:rFonts w:hint="eastAsia"/>
        </w:rPr>
      </w:pPr>
      <w:bookmarkStart w:id="18" w:name="_Toc2920"/>
      <w:r>
        <w:rPr>
          <w:rFonts w:hint="eastAsia"/>
        </w:rPr>
        <w:t>六、国有资产占有使用情况</w:t>
      </w:r>
      <w:bookmarkEnd w:id="18"/>
    </w:p>
    <w:p>
      <w:pPr>
        <w:bidi w:val="0"/>
        <w:rPr>
          <w:rFonts w:hint="default"/>
        </w:rPr>
      </w:pPr>
      <w:r>
        <w:rPr>
          <w:rFonts w:hint="eastAsia"/>
        </w:rPr>
        <w:t>固定资产明细信息如下：</w:t>
      </w:r>
      <w:r>
        <w:rPr>
          <w:rFonts w:hint="default"/>
        </w:rPr>
        <w:t> </w:t>
      </w:r>
    </w:p>
    <w:tbl>
      <w:tblPr>
        <w:tblStyle w:val="9"/>
        <w:tblW w:w="94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4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9442" w:type="dxa"/>
            <w:shd w:val="clear" w:color="auto" w:fill="FFFFFF"/>
            <w:tcMar>
              <w:top w:w="0" w:type="dxa"/>
              <w:left w:w="108" w:type="dxa"/>
              <w:bottom w:w="0" w:type="dxa"/>
              <w:right w:w="108" w:type="dxa"/>
            </w:tcMar>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b w:val="0"/>
                <w:bCs w:val="0"/>
                <w:color w:val="auto"/>
                <w:sz w:val="21"/>
                <w:szCs w:val="21"/>
                <w:highlight w:val="none"/>
              </w:rPr>
            </w:pPr>
            <w:r>
              <w:rPr>
                <w:rFonts w:hint="eastAsia" w:ascii="宋体" w:hAnsi="宋体" w:eastAsia="宋体" w:cs="宋体"/>
                <w:b w:val="0"/>
                <w:bCs w:val="0"/>
                <w:color w:val="auto"/>
                <w:sz w:val="22"/>
                <w:szCs w:val="22"/>
                <w:highlight w:val="none"/>
              </w:rPr>
              <w:t>附表</w:t>
            </w:r>
            <w:r>
              <w:rPr>
                <w:rFonts w:hint="default" w:ascii="Calibri" w:hAnsi="Calibri" w:eastAsia="宋体" w:cs="Calibri"/>
                <w:b w:val="0"/>
                <w:bCs w:val="0"/>
                <w:color w:val="auto"/>
                <w:sz w:val="22"/>
                <w:szCs w:val="22"/>
                <w:highlight w:val="none"/>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9442" w:type="dxa"/>
            <w:shd w:val="clear" w:color="auto" w:fill="FFFFFF"/>
            <w:tcMar>
              <w:top w:w="0" w:type="dxa"/>
              <w:left w:w="108" w:type="dxa"/>
              <w:bottom w:w="0" w:type="dxa"/>
              <w:right w:w="108" w:type="dxa"/>
            </w:tcMar>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color w:val="auto"/>
                <w:sz w:val="22"/>
                <w:szCs w:val="22"/>
                <w:highlight w:val="none"/>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b w:val="0"/>
                <w:bCs w:val="0"/>
                <w:color w:val="auto"/>
                <w:sz w:val="21"/>
                <w:szCs w:val="21"/>
                <w:highlight w:val="none"/>
              </w:rPr>
            </w:pPr>
            <w:r>
              <w:rPr>
                <w:rFonts w:hint="eastAsia" w:ascii="宋体" w:hAnsi="宋体" w:eastAsia="宋体" w:cs="宋体"/>
                <w:b/>
                <w:bCs/>
                <w:color w:val="auto"/>
                <w:sz w:val="22"/>
                <w:szCs w:val="22"/>
                <w:highlight w:val="none"/>
              </w:rPr>
              <w:t>固定资产明细表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9442" w:type="dxa"/>
            <w:shd w:val="clear" w:color="auto" w:fill="FFFFFF"/>
            <w:tcMar>
              <w:top w:w="0" w:type="dxa"/>
              <w:left w:w="108" w:type="dxa"/>
              <w:bottom w:w="0" w:type="dxa"/>
              <w:right w:w="108" w:type="dxa"/>
            </w:tcMar>
            <w:vAlign w:val="center"/>
          </w:tcPr>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b w:val="0"/>
                <w:bCs w:val="0"/>
                <w:color w:val="auto"/>
                <w:sz w:val="21"/>
                <w:szCs w:val="21"/>
                <w:highlight w:val="none"/>
              </w:rPr>
            </w:pPr>
            <w:r>
              <w:rPr>
                <w:rFonts w:hint="eastAsia" w:ascii="宋体" w:hAnsi="宋体" w:eastAsia="宋体" w:cs="宋体"/>
                <w:b w:val="0"/>
                <w:bCs w:val="0"/>
                <w:color w:val="auto"/>
                <w:sz w:val="20"/>
                <w:szCs w:val="20"/>
                <w:highlight w:val="none"/>
              </w:rPr>
              <w:t>单位：元</w:t>
            </w:r>
          </w:p>
        </w:tc>
      </w:tr>
    </w:tbl>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0" w:lineRule="atLeast"/>
        <w:ind w:left="0" w:right="0" w:firstLine="0"/>
        <w:jc w:val="right"/>
        <w:rPr>
          <w:rFonts w:hint="default" w:ascii="Calibri" w:hAnsi="Calibri" w:cs="Calibri"/>
          <w:i w:val="0"/>
          <w:iCs w:val="0"/>
          <w:caps w:val="0"/>
          <w:color w:val="000000"/>
          <w:spacing w:val="0"/>
          <w:sz w:val="21"/>
          <w:szCs w:val="21"/>
          <w:highlight w:val="yellow"/>
          <w:shd w:val="clear" w:fill="FFFFFF"/>
        </w:rPr>
      </w:pP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0" w:lineRule="atLeast"/>
        <w:ind w:left="0" w:right="0" w:firstLine="0"/>
        <w:jc w:val="right"/>
        <w:rPr>
          <w:rFonts w:hint="default" w:ascii="Calibri" w:hAnsi="Calibri" w:cs="Calibri"/>
          <w:i w:val="0"/>
          <w:iCs w:val="0"/>
          <w:caps w:val="0"/>
          <w:color w:val="000000"/>
          <w:spacing w:val="0"/>
          <w:sz w:val="21"/>
          <w:szCs w:val="21"/>
          <w:highlight w:val="yellow"/>
        </w:rPr>
      </w:pPr>
      <w:r>
        <w:rPr>
          <w:rFonts w:hint="default" w:ascii="Calibri" w:hAnsi="Calibri" w:cs="Calibri"/>
          <w:i w:val="0"/>
          <w:iCs w:val="0"/>
          <w:caps w:val="0"/>
          <w:color w:val="000000"/>
          <w:spacing w:val="0"/>
          <w:sz w:val="21"/>
          <w:szCs w:val="21"/>
          <w:highlight w:val="yellow"/>
          <w:shd w:val="clear" w:fill="FFFFFF"/>
        </w:rPr>
        <w:t> </w:t>
      </w:r>
    </w:p>
    <w:tbl>
      <w:tblPr>
        <w:tblStyle w:val="9"/>
        <w:tblW w:w="96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385"/>
        <w:gridCol w:w="1875"/>
        <w:gridCol w:w="1386"/>
        <w:gridCol w:w="1216"/>
        <w:gridCol w:w="1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3545" w:type="dxa"/>
            <w:tcBorders>
              <w:top w:val="single" w:color="auto" w:sz="8" w:space="0"/>
              <w:left w:val="nil"/>
              <w:bottom w:val="single" w:color="auto" w:sz="8" w:space="0"/>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center"/>
              <w:textAlignment w:val="bottom"/>
              <w:rPr>
                <w:rFonts w:hint="default" w:ascii="Calibri" w:hAnsi="Calibri" w:cs="Calibri"/>
                <w:b w:val="0"/>
                <w:bCs w:val="0"/>
                <w:color w:val="000000"/>
                <w:sz w:val="21"/>
                <w:szCs w:val="21"/>
                <w:highlight w:val="yellow"/>
              </w:rPr>
            </w:pPr>
            <w:r>
              <w:rPr>
                <w:rFonts w:hint="eastAsia" w:ascii="宋体" w:hAnsi="宋体" w:eastAsia="宋体" w:cs="宋体"/>
                <w:b/>
                <w:bCs/>
                <w:i w:val="0"/>
                <w:iCs w:val="0"/>
                <w:color w:val="000000"/>
                <w:kern w:val="0"/>
                <w:sz w:val="20"/>
                <w:szCs w:val="20"/>
                <w:u w:val="none"/>
                <w:lang w:val="en-US" w:eastAsia="zh-CN" w:bidi="ar"/>
              </w:rPr>
              <w:t>项目</w:t>
            </w:r>
          </w:p>
        </w:tc>
        <w:tc>
          <w:tcPr>
            <w:tcW w:w="1908" w:type="dxa"/>
            <w:tcBorders>
              <w:top w:val="single" w:color="auto" w:sz="8" w:space="0"/>
              <w:left w:val="nil"/>
              <w:bottom w:val="single" w:color="auto" w:sz="8" w:space="0"/>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center"/>
              <w:textAlignment w:val="bottom"/>
              <w:rPr>
                <w:rFonts w:hint="default" w:ascii="Calibri" w:hAnsi="Calibri" w:cs="Calibri"/>
                <w:b w:val="0"/>
                <w:bCs w:val="0"/>
                <w:color w:val="000000"/>
                <w:sz w:val="21"/>
                <w:szCs w:val="21"/>
                <w:highlight w:val="yellow"/>
              </w:rPr>
            </w:pPr>
            <w:r>
              <w:rPr>
                <w:rFonts w:hint="eastAsia" w:ascii="宋体" w:hAnsi="宋体" w:eastAsia="宋体" w:cs="宋体"/>
                <w:b/>
                <w:bCs/>
                <w:i w:val="0"/>
                <w:iCs w:val="0"/>
                <w:color w:val="000000"/>
                <w:kern w:val="0"/>
                <w:sz w:val="20"/>
                <w:szCs w:val="20"/>
                <w:u w:val="none"/>
                <w:lang w:val="en-US" w:eastAsia="zh-CN" w:bidi="ar"/>
              </w:rPr>
              <w:t>年初数</w:t>
            </w:r>
          </w:p>
        </w:tc>
        <w:tc>
          <w:tcPr>
            <w:tcW w:w="1166" w:type="dxa"/>
            <w:tcBorders>
              <w:top w:val="single" w:color="auto" w:sz="8" w:space="0"/>
              <w:left w:val="nil"/>
              <w:bottom w:val="single" w:color="auto" w:sz="8" w:space="0"/>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center"/>
              <w:textAlignment w:val="bottom"/>
              <w:rPr>
                <w:rFonts w:hint="default" w:ascii="Calibri" w:hAnsi="Calibri" w:cs="Calibri"/>
                <w:b w:val="0"/>
                <w:bCs w:val="0"/>
                <w:color w:val="000000"/>
                <w:sz w:val="21"/>
                <w:szCs w:val="21"/>
                <w:highlight w:val="yellow"/>
              </w:rPr>
            </w:pPr>
            <w:r>
              <w:rPr>
                <w:rFonts w:hint="eastAsia" w:ascii="宋体" w:hAnsi="宋体" w:eastAsia="宋体" w:cs="宋体"/>
                <w:b/>
                <w:bCs/>
                <w:i w:val="0"/>
                <w:iCs w:val="0"/>
                <w:color w:val="000000"/>
                <w:kern w:val="0"/>
                <w:sz w:val="20"/>
                <w:szCs w:val="20"/>
                <w:u w:val="none"/>
                <w:lang w:val="en-US" w:eastAsia="zh-CN" w:bidi="ar"/>
              </w:rPr>
              <w:t>本年增加</w:t>
            </w:r>
          </w:p>
        </w:tc>
        <w:tc>
          <w:tcPr>
            <w:tcW w:w="1222" w:type="dxa"/>
            <w:tcBorders>
              <w:top w:val="single" w:color="auto" w:sz="8" w:space="0"/>
              <w:left w:val="nil"/>
              <w:bottom w:val="single" w:color="auto" w:sz="8" w:space="0"/>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center"/>
              <w:textAlignment w:val="bottom"/>
              <w:rPr>
                <w:rFonts w:hint="default" w:ascii="Calibri" w:hAnsi="Calibri" w:cs="Calibri"/>
                <w:b w:val="0"/>
                <w:bCs w:val="0"/>
                <w:color w:val="000000"/>
                <w:sz w:val="21"/>
                <w:szCs w:val="21"/>
                <w:highlight w:val="yellow"/>
              </w:rPr>
            </w:pPr>
            <w:r>
              <w:rPr>
                <w:rFonts w:hint="eastAsia" w:ascii="宋体" w:hAnsi="宋体" w:eastAsia="宋体" w:cs="宋体"/>
                <w:b/>
                <w:bCs/>
                <w:i w:val="0"/>
                <w:iCs w:val="0"/>
                <w:color w:val="000000"/>
                <w:kern w:val="0"/>
                <w:sz w:val="20"/>
                <w:szCs w:val="20"/>
                <w:u w:val="none"/>
                <w:lang w:val="en-US" w:eastAsia="zh-CN" w:bidi="ar"/>
              </w:rPr>
              <w:t>本年减少</w:t>
            </w:r>
          </w:p>
        </w:tc>
        <w:tc>
          <w:tcPr>
            <w:tcW w:w="1766" w:type="dxa"/>
            <w:tcBorders>
              <w:top w:val="single" w:color="auto" w:sz="8" w:space="0"/>
              <w:left w:val="nil"/>
              <w:bottom w:val="single" w:color="auto" w:sz="8" w:space="0"/>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center"/>
              <w:textAlignment w:val="bottom"/>
              <w:rPr>
                <w:rFonts w:hint="default" w:ascii="Calibri" w:hAnsi="Calibri" w:cs="Calibri"/>
                <w:b w:val="0"/>
                <w:bCs w:val="0"/>
                <w:color w:val="000000"/>
                <w:sz w:val="21"/>
                <w:szCs w:val="21"/>
                <w:highlight w:val="yellow"/>
              </w:rPr>
            </w:pPr>
            <w:r>
              <w:rPr>
                <w:rFonts w:hint="eastAsia" w:ascii="宋体" w:hAnsi="宋体" w:eastAsia="宋体" w:cs="宋体"/>
                <w:b/>
                <w:bCs/>
                <w:i w:val="0"/>
                <w:iCs w:val="0"/>
                <w:color w:val="000000"/>
                <w:kern w:val="0"/>
                <w:sz w:val="20"/>
                <w:szCs w:val="20"/>
                <w:u w:val="none"/>
                <w:lang w:val="en-US" w:eastAsia="zh-CN" w:bidi="ar"/>
              </w:rPr>
              <w:t>年末数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eastAsia" w:ascii="微软雅黑" w:hAnsi="微软雅黑" w:eastAsia="微软雅黑" w:cs="微软雅黑"/>
                <w:i w:val="0"/>
                <w:iCs w:val="0"/>
                <w:color w:val="000000"/>
                <w:kern w:val="0"/>
                <w:sz w:val="20"/>
                <w:szCs w:val="20"/>
                <w:u w:val="none"/>
                <w:lang w:val="en-US" w:eastAsia="zh-CN" w:bidi="ar"/>
              </w:rPr>
              <w:t>原值合计</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8,725,336.35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36,169,561.16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44,894,897.51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房屋及构筑物</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5,026,000.00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36,103,186.50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41,129,186.50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通用设备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2,745,025.00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22,560.00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2,767,585.00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专用设备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233,943.00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233,943.00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文物和陈列品</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图书、档案</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195,776.35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30,454.66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226,231.01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家具、用具、装具及动植物</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524,592.00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13,360.00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537,952.00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20"/>
                <w:szCs w:val="20"/>
                <w:u w:val="none"/>
                <w:lang w:val="en-US" w:eastAsia="zh-CN" w:bidi="ar"/>
              </w:rPr>
              <w:t>无形资产</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5" w:hRule="atLeast"/>
          <w:jc w:val="center"/>
        </w:trPr>
        <w:tc>
          <w:tcPr>
            <w:tcW w:w="3545" w:type="dxa"/>
            <w:tcBorders>
              <w:top w:val="single" w:color="auto" w:sz="8" w:space="0"/>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eastAsia" w:ascii="微软雅黑" w:hAnsi="微软雅黑" w:eastAsia="微软雅黑" w:cs="微软雅黑"/>
                <w:i w:val="0"/>
                <w:iCs w:val="0"/>
                <w:color w:val="000000"/>
                <w:kern w:val="0"/>
                <w:sz w:val="20"/>
                <w:szCs w:val="20"/>
                <w:u w:val="none"/>
                <w:lang w:val="en-US" w:eastAsia="zh-CN" w:bidi="ar"/>
              </w:rPr>
              <w:t>累计折旧合计</w:t>
            </w:r>
          </w:p>
        </w:tc>
        <w:tc>
          <w:tcPr>
            <w:tcW w:w="1908"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4,801,745.50 </w:t>
            </w:r>
          </w:p>
        </w:tc>
        <w:tc>
          <w:tcPr>
            <w:tcW w:w="1166"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922,922.14 </w:t>
            </w:r>
          </w:p>
        </w:tc>
        <w:tc>
          <w:tcPr>
            <w:tcW w:w="1222" w:type="dxa"/>
            <w:tcBorders>
              <w:top w:val="single" w:color="auto" w:sz="8" w:space="0"/>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5,724,667.64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房屋及构筑物</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2,385,492.72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625,095.72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3,010,588.44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通用设备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2,096,753.15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237,369.90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2,334,123.05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专用设备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174,119.48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22,977.79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197,097.27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文物和陈列品</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图书、档案</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家具、用具、装具及动植物</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145,380.15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37,478.73 </w:t>
            </w:r>
          </w:p>
        </w:tc>
        <w:tc>
          <w:tcPr>
            <w:tcW w:w="1222"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182,858.88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5" w:hRule="atLeast"/>
          <w:jc w:val="center"/>
        </w:trPr>
        <w:tc>
          <w:tcPr>
            <w:tcW w:w="3545" w:type="dxa"/>
            <w:tcBorders>
              <w:top w:val="single" w:color="auto" w:sz="8" w:space="0"/>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20"/>
                <w:szCs w:val="20"/>
                <w:u w:val="none"/>
                <w:lang w:val="en-US" w:eastAsia="zh-CN" w:bidi="ar"/>
              </w:rPr>
              <w:t>无形资产</w:t>
            </w:r>
          </w:p>
        </w:tc>
        <w:tc>
          <w:tcPr>
            <w:tcW w:w="1908"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166"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tcBorders>
              <w:top w:val="single" w:color="auto" w:sz="8" w:space="0"/>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right"/>
              <w:textAlignment w:val="bottom"/>
              <w:rPr>
                <w:rFonts w:hint="default" w:ascii="Calibri" w:hAnsi="Calibri" w:cs="Calibri"/>
                <w:b w:val="0"/>
                <w:bCs w:val="0"/>
                <w:color w:val="000000"/>
                <w:sz w:val="21"/>
                <w:szCs w:val="21"/>
                <w:highlight w:val="yellow"/>
              </w:rPr>
            </w:pPr>
            <w:r>
              <w:rPr>
                <w:rFonts w:hint="default" w:ascii="Arial" w:hAnsi="Arial" w:eastAsia="宋体" w:cs="Arial"/>
                <w:i w:val="0"/>
                <w:iCs w:val="0"/>
                <w:color w:val="000000"/>
                <w:kern w:val="0"/>
                <w:sz w:val="20"/>
                <w:szCs w:val="20"/>
                <w:u w:val="none"/>
                <w:lang w:val="en-US" w:eastAsia="zh-CN" w:bidi="ar"/>
              </w:rPr>
              <w:t>0</w:t>
            </w:r>
          </w:p>
        </w:tc>
        <w:tc>
          <w:tcPr>
            <w:tcW w:w="1766" w:type="dxa"/>
            <w:tcBorders>
              <w:top w:val="single" w:color="auto" w:sz="8" w:space="0"/>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eastAsia" w:ascii="微软雅黑" w:hAnsi="微软雅黑" w:eastAsia="微软雅黑" w:cs="微软雅黑"/>
                <w:i w:val="0"/>
                <w:iCs w:val="0"/>
                <w:color w:val="000000"/>
                <w:kern w:val="0"/>
                <w:sz w:val="20"/>
                <w:szCs w:val="20"/>
                <w:u w:val="none"/>
                <w:lang w:val="en-US" w:eastAsia="zh-CN" w:bidi="ar"/>
              </w:rPr>
              <w:t>净值合计</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3,923,590.85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4,801,745.50 </w:t>
            </w:r>
          </w:p>
        </w:tc>
        <w:tc>
          <w:tcPr>
            <w:tcW w:w="1222"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922,922.14 </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39,170,229.87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房屋及构筑物</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2,640,507.28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2,385,492.72 </w:t>
            </w:r>
          </w:p>
        </w:tc>
        <w:tc>
          <w:tcPr>
            <w:tcW w:w="1222"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625,095.72 </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38,118,598.06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通用设备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648,271.85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2,096,753.15 </w:t>
            </w:r>
          </w:p>
        </w:tc>
        <w:tc>
          <w:tcPr>
            <w:tcW w:w="1222"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237,369.90 </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433,461.95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专用设备</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59,823.52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174,119.48 </w:t>
            </w:r>
          </w:p>
        </w:tc>
        <w:tc>
          <w:tcPr>
            <w:tcW w:w="1222"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22,977.79 </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36,845.73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3545" w:type="dxa"/>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文物和陈列品</w:t>
            </w:r>
          </w:p>
        </w:tc>
        <w:tc>
          <w:tcPr>
            <w:tcW w:w="1908"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0.00 </w:t>
            </w:r>
          </w:p>
        </w:tc>
        <w:tc>
          <w:tcPr>
            <w:tcW w:w="11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766" w:type="dxa"/>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5" w:hRule="atLeast"/>
          <w:jc w:val="center"/>
        </w:trPr>
        <w:tc>
          <w:tcPr>
            <w:tcW w:w="3545" w:type="dxa"/>
            <w:tcBorders>
              <w:top w:val="nil"/>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cs="Calibri"/>
                <w:b w:val="0"/>
                <w:bCs w:val="0"/>
                <w:color w:val="000000"/>
                <w:sz w:val="21"/>
                <w:szCs w:val="21"/>
                <w:highlight w:val="yellow"/>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图书、档案</w:t>
            </w:r>
          </w:p>
        </w:tc>
        <w:tc>
          <w:tcPr>
            <w:tcW w:w="1908"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195,776.35 </w:t>
            </w:r>
          </w:p>
        </w:tc>
        <w:tc>
          <w:tcPr>
            <w:tcW w:w="11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黑体" w:hAnsi="宋体" w:eastAsia="黑体" w:cs="黑体"/>
                <w:i w:val="0"/>
                <w:iCs w:val="0"/>
                <w:color w:val="000000"/>
                <w:kern w:val="0"/>
                <w:sz w:val="18"/>
                <w:szCs w:val="18"/>
                <w:u w:val="none"/>
                <w:lang w:val="en-US" w:eastAsia="zh-CN" w:bidi="ar"/>
              </w:rPr>
              <w:t xml:space="preserve">0.00 </w:t>
            </w:r>
          </w:p>
        </w:tc>
        <w:tc>
          <w:tcPr>
            <w:tcW w:w="17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default" w:ascii="Calibri" w:hAnsi="Calibri" w:cs="Calibri"/>
                <w:b w:val="0"/>
                <w:bCs w:val="0"/>
                <w:color w:val="000000"/>
                <w:sz w:val="21"/>
                <w:szCs w:val="21"/>
                <w:highlight w:val="yellow"/>
              </w:rPr>
            </w:pPr>
            <w:r>
              <w:rPr>
                <w:rFonts w:hint="eastAsia" w:ascii="宋体" w:hAnsi="宋体" w:eastAsia="宋体" w:cs="宋体"/>
                <w:i w:val="0"/>
                <w:iCs w:val="0"/>
                <w:color w:val="000000"/>
                <w:kern w:val="0"/>
                <w:sz w:val="18"/>
                <w:szCs w:val="18"/>
                <w:u w:val="none"/>
                <w:lang w:val="en-US" w:eastAsia="zh-CN" w:bidi="ar"/>
              </w:rPr>
              <w:t xml:space="preserve">226,231.01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5" w:hRule="atLeast"/>
          <w:jc w:val="center"/>
        </w:trPr>
        <w:tc>
          <w:tcPr>
            <w:tcW w:w="3545" w:type="dxa"/>
            <w:tcBorders>
              <w:top w:val="nil"/>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eastAsia="宋体" w:cs="Calibri"/>
                <w:i w:val="0"/>
                <w:iCs w:val="0"/>
                <w:color w:val="000000"/>
                <w:kern w:val="0"/>
                <w:sz w:val="20"/>
                <w:szCs w:val="20"/>
                <w:u w:val="none"/>
                <w:lang w:val="en-US" w:eastAsia="zh-CN" w:bidi="ar"/>
              </w:rPr>
            </w:pPr>
            <w:r>
              <w:rPr>
                <w:rFonts w:hint="default" w:ascii="Calibri" w:hAnsi="Calibri" w:eastAsia="宋体" w:cs="Calibri"/>
                <w:i w:val="0"/>
                <w:iCs w:val="0"/>
                <w:color w:val="000000"/>
                <w:kern w:val="0"/>
                <w:sz w:val="20"/>
                <w:szCs w:val="20"/>
                <w:u w:val="none"/>
                <w:lang w:val="en-US" w:eastAsia="zh-CN" w:bidi="ar"/>
              </w:rPr>
              <w:t xml:space="preserve">  </w:t>
            </w:r>
            <w:r>
              <w:rPr>
                <w:rStyle w:val="12"/>
                <w:lang w:val="en-US" w:eastAsia="zh-CN" w:bidi="ar"/>
              </w:rPr>
              <w:t>家具、用具、装具及动植物</w:t>
            </w:r>
          </w:p>
        </w:tc>
        <w:tc>
          <w:tcPr>
            <w:tcW w:w="1908"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379,211.85 </w:t>
            </w:r>
          </w:p>
        </w:tc>
        <w:tc>
          <w:tcPr>
            <w:tcW w:w="11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 xml:space="preserve">145,380.15 </w:t>
            </w:r>
          </w:p>
        </w:tc>
        <w:tc>
          <w:tcPr>
            <w:tcW w:w="1222"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 xml:space="preserve">37,478.73 </w:t>
            </w:r>
          </w:p>
        </w:tc>
        <w:tc>
          <w:tcPr>
            <w:tcW w:w="17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355,093.12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5" w:hRule="atLeast"/>
          <w:jc w:val="center"/>
        </w:trPr>
        <w:tc>
          <w:tcPr>
            <w:tcW w:w="3545" w:type="dxa"/>
            <w:tcBorders>
              <w:top w:val="nil"/>
              <w:left w:val="nil"/>
              <w:bottom w:val="nil"/>
              <w:right w:val="nil"/>
            </w:tcBorders>
            <w:shd w:val="clear" w:color="auto" w:fill="FFFFFF"/>
            <w:tcMar>
              <w:top w:w="0" w:type="dxa"/>
              <w:left w:w="108" w:type="dxa"/>
              <w:bottom w:w="0" w:type="dxa"/>
              <w:right w:w="108" w:type="dxa"/>
            </w:tcMar>
            <w:vAlign w:val="bottom"/>
          </w:tcPr>
          <w:p>
            <w:pPr>
              <w:keepNext w:val="0"/>
              <w:keepLines w:val="0"/>
              <w:widowControl/>
              <w:suppressLineNumbers w:val="0"/>
              <w:ind w:left="0" w:leftChars="0" w:firstLine="0" w:firstLineChars="0"/>
              <w:jc w:val="left"/>
              <w:textAlignment w:val="bottom"/>
              <w:rPr>
                <w:rFonts w:hint="default" w:ascii="Calibri" w:hAnsi="Calibri" w:eastAsia="宋体" w:cs="Calibri"/>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无形资产</w:t>
            </w:r>
          </w:p>
        </w:tc>
        <w:tc>
          <w:tcPr>
            <w:tcW w:w="1908"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0.00 </w:t>
            </w:r>
          </w:p>
        </w:tc>
        <w:tc>
          <w:tcPr>
            <w:tcW w:w="11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 xml:space="preserve">0.00 </w:t>
            </w:r>
          </w:p>
        </w:tc>
        <w:tc>
          <w:tcPr>
            <w:tcW w:w="1222"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eastAsia" w:ascii="黑体" w:hAnsi="宋体" w:eastAsia="黑体" w:cs="黑体"/>
                <w:i w:val="0"/>
                <w:iCs w:val="0"/>
                <w:color w:val="000000"/>
                <w:kern w:val="0"/>
                <w:sz w:val="18"/>
                <w:szCs w:val="18"/>
                <w:u w:val="none"/>
                <w:lang w:val="en-US" w:eastAsia="zh-CN" w:bidi="ar"/>
              </w:rPr>
            </w:pPr>
            <w:r>
              <w:rPr>
                <w:rFonts w:hint="eastAsia" w:ascii="黑体" w:hAnsi="宋体" w:eastAsia="黑体" w:cs="黑体"/>
                <w:i w:val="0"/>
                <w:iCs w:val="0"/>
                <w:color w:val="000000"/>
                <w:kern w:val="0"/>
                <w:sz w:val="18"/>
                <w:szCs w:val="18"/>
                <w:u w:val="none"/>
                <w:lang w:val="en-US" w:eastAsia="zh-CN" w:bidi="ar"/>
              </w:rPr>
              <w:t xml:space="preserve">0.00 </w:t>
            </w:r>
          </w:p>
        </w:tc>
        <w:tc>
          <w:tcPr>
            <w:tcW w:w="1766" w:type="dxa"/>
            <w:tcBorders>
              <w:top w:val="nil"/>
              <w:left w:val="nil"/>
              <w:bottom w:val="nil"/>
              <w:right w:val="nil"/>
            </w:tcBorders>
            <w:shd w:val="clear" w:color="auto" w:fill="FFFFFF"/>
            <w:tcMar>
              <w:top w:w="0" w:type="dxa"/>
              <w:left w:w="108" w:type="dxa"/>
              <w:bottom w:w="0" w:type="dxa"/>
              <w:right w:w="108" w:type="dxa"/>
            </w:tcMar>
            <w:vAlign w:val="top"/>
          </w:tcPr>
          <w:p>
            <w:pPr>
              <w:keepNext w:val="0"/>
              <w:keepLines w:val="0"/>
              <w:widowControl/>
              <w:suppressLineNumbers w:val="0"/>
              <w:ind w:left="0" w:leftChars="0" w:firstLine="0" w:firstLineChars="0"/>
              <w:jc w:val="right"/>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0.00 </w:t>
            </w:r>
          </w:p>
        </w:tc>
      </w:tr>
    </w:tbl>
    <w:p>
      <w:pPr>
        <w:bidi w:val="0"/>
        <w:rPr>
          <w:rFonts w:hint="default"/>
        </w:rPr>
      </w:pPr>
      <w:r>
        <w:rPr>
          <w:rFonts w:hint="eastAsia"/>
        </w:rPr>
        <w:t>1、我单位不存在使用债务资金形成的固定资产、公共基础设施、保障性住房等资产的账面价值、使用情况、收益情况及与此相关的债务偿还情况。</w:t>
      </w:r>
    </w:p>
    <w:p>
      <w:pPr>
        <w:bidi w:val="0"/>
        <w:rPr>
          <w:rFonts w:hint="default"/>
        </w:rPr>
      </w:pPr>
      <w:r>
        <w:rPr>
          <w:rFonts w:hint="eastAsia"/>
        </w:rPr>
        <w:t>6. （2、我单位不存在重要资产置换、无偿调入（出）、捐入（出）、报废、重大毁损等情况的说明。</w:t>
      </w:r>
    </w:p>
    <w:p>
      <w:pPr>
        <w:bidi w:val="0"/>
        <w:rPr>
          <w:rFonts w:hint="default"/>
        </w:rPr>
      </w:pPr>
      <w:r>
        <w:rPr>
          <w:rFonts w:hint="eastAsia"/>
        </w:rPr>
        <w:t>3、我单位不存在对于政府部门管理的公共基础设施、文物文化资产、保障性住房、自然资源资产等重要资产，披露种类和实物量等相关信息。</w:t>
      </w:r>
    </w:p>
    <w:p>
      <w:pPr>
        <w:pStyle w:val="3"/>
        <w:bidi w:val="0"/>
        <w:rPr>
          <w:rFonts w:hint="eastAsia"/>
        </w:rPr>
      </w:pPr>
      <w:bookmarkStart w:id="19" w:name="_Toc11556"/>
      <w:r>
        <w:rPr>
          <w:rFonts w:hint="eastAsia"/>
        </w:rPr>
        <w:t>七、其他说明（参考模板，各单位可根据本单位实际情况进行修改和完善）</w:t>
      </w:r>
      <w:bookmarkEnd w:id="19"/>
    </w:p>
    <w:p>
      <w:pPr>
        <w:jc w:val="left"/>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无</w:t>
      </w:r>
    </w:p>
    <w:p>
      <w:pPr>
        <w:jc w:val="left"/>
        <w:rPr>
          <w:rFonts w:hint="eastAsia" w:ascii="仿宋_GB2312" w:hAnsi="仿宋" w:eastAsia="仿宋_GB2312"/>
          <w:sz w:val="32"/>
          <w:szCs w:val="32"/>
          <w:lang w:val="en-US" w:eastAsia="zh-CN"/>
        </w:rPr>
      </w:pPr>
    </w:p>
    <w:p>
      <w:pPr>
        <w:jc w:val="left"/>
        <w:rPr>
          <w:rFonts w:hint="eastAsia" w:ascii="仿宋_GB2312" w:hAnsi="仿宋" w:eastAsia="仿宋_GB2312"/>
          <w:sz w:val="32"/>
          <w:szCs w:val="32"/>
          <w:lang w:val="en-US" w:eastAsia="zh-CN"/>
        </w:rPr>
      </w:pPr>
    </w:p>
    <w:p>
      <w:pPr>
        <w:jc w:val="left"/>
        <w:rPr>
          <w:rFonts w:hint="eastAsia" w:ascii="仿宋_GB2312" w:hAnsi="仿宋" w:eastAsia="仿宋_GB2312"/>
          <w:sz w:val="32"/>
          <w:szCs w:val="32"/>
          <w:lang w:val="en-US" w:eastAsia="zh-CN"/>
        </w:rPr>
      </w:pPr>
    </w:p>
    <w:p>
      <w:pPr>
        <w:pStyle w:val="2"/>
        <w:bidi w:val="0"/>
        <w:rPr>
          <w:rFonts w:hint="eastAsia"/>
        </w:rPr>
      </w:pPr>
      <w:bookmarkStart w:id="20" w:name="_Toc25161"/>
      <w:r>
        <w:rPr>
          <w:rFonts w:hint="eastAsia"/>
        </w:rPr>
        <w:t>第四部分  名词解释</w:t>
      </w:r>
      <w:bookmarkEnd w:id="20"/>
    </w:p>
    <w:p>
      <w:pPr>
        <w:rPr>
          <w:rFonts w:hint="eastAsia" w:ascii="仿宋_GB2312" w:hAnsi="仿宋" w:eastAsia="仿宋_GB2312"/>
          <w:sz w:val="32"/>
          <w:szCs w:val="32"/>
        </w:rPr>
      </w:pPr>
      <w:r>
        <w:rPr>
          <w:rFonts w:hint="eastAsia" w:ascii="仿宋_GB2312" w:hAnsi="仿宋" w:eastAsia="仿宋_GB2312"/>
          <w:sz w:val="32"/>
          <w:szCs w:val="32"/>
        </w:rPr>
        <w:t>【说明：本项为必须公开内容，可解释本部门预算特有的较为专业的名词，或是财政预算编制方面名词（以下名词解释仅供参考，各部门可以根据实际情况自行增加）】</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一、基本支出</w:t>
      </w:r>
      <w:r>
        <w:rPr>
          <w:rFonts w:hint="eastAsia" w:ascii="仿宋_GB2312" w:hAnsi="仿宋" w:eastAsia="仿宋_GB2312"/>
          <w:sz w:val="32"/>
          <w:szCs w:val="32"/>
        </w:rPr>
        <w:t>：指为保障机构正常运转、完成日常</w:t>
      </w:r>
    </w:p>
    <w:p>
      <w:pPr>
        <w:autoSpaceDE w:val="0"/>
        <w:autoSpaceDN w:val="0"/>
        <w:adjustRightInd w:val="0"/>
        <w:rPr>
          <w:rFonts w:hint="eastAsia" w:ascii="仿宋_GB2312" w:hAnsi="仿宋" w:eastAsia="仿宋_GB2312"/>
          <w:sz w:val="32"/>
          <w:szCs w:val="32"/>
        </w:rPr>
      </w:pPr>
      <w:r>
        <w:rPr>
          <w:rFonts w:hint="eastAsia" w:ascii="仿宋_GB2312" w:hAnsi="仿宋" w:eastAsia="仿宋_GB2312"/>
          <w:sz w:val="32"/>
          <w:szCs w:val="32"/>
        </w:rPr>
        <w:t>工作任务而发生的人员支出和公用支出。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二、项目支出</w:t>
      </w:r>
      <w:r>
        <w:rPr>
          <w:rFonts w:hint="eastAsia" w:ascii="仿宋_GB2312" w:hAnsi="仿宋" w:eastAsia="仿宋_GB2312"/>
          <w:sz w:val="32"/>
          <w:szCs w:val="32"/>
        </w:rPr>
        <w:t>：指在基本支出之外为完成特定行政任</w:t>
      </w:r>
    </w:p>
    <w:p>
      <w:pPr>
        <w:rPr>
          <w:rFonts w:hint="eastAsia" w:ascii="仿宋_GB2312" w:hAnsi="仿宋" w:eastAsia="仿宋_GB2312"/>
          <w:sz w:val="32"/>
          <w:szCs w:val="32"/>
        </w:rPr>
      </w:pPr>
      <w:r>
        <w:rPr>
          <w:rFonts w:hint="eastAsia" w:ascii="仿宋_GB2312" w:hAnsi="仿宋" w:eastAsia="仿宋_GB2312"/>
          <w:sz w:val="32"/>
          <w:szCs w:val="32"/>
        </w:rPr>
        <w:t>务和事业发展目标所发生的支出。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三、“三公”经费</w:t>
      </w:r>
      <w:r>
        <w:rPr>
          <w:rFonts w:hint="eastAsia" w:ascii="仿宋_GB2312" w:hAnsi="仿宋" w:eastAsia="仿宋_GB2312"/>
          <w:sz w:val="32"/>
          <w:szCs w:val="32"/>
        </w:rPr>
        <w:t>：指省直部门用一般公共预算安排的因公出国（境）费用、公务用车购置及运行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维修费、过路过桥费、保险费、安全奖励费用等支出；公务接待费反映机关和参公事业单位按规定开支的各类公务接待（含外宾接待）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四、机关运行经费</w:t>
      </w:r>
      <w:r>
        <w:rPr>
          <w:rFonts w:hint="eastAsia" w:ascii="仿宋_GB2312" w:hAnsi="仿宋" w:eastAsia="仿宋_GB2312"/>
          <w:sz w:val="32"/>
          <w:szCs w:val="32"/>
        </w:rPr>
        <w:t>：指行政单位和参照公务员法管理的事业单位使用一般公共预算财政拨款安排的基本支出中的公用经费支出。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五、政府购买服务</w:t>
      </w:r>
      <w:r>
        <w:rPr>
          <w:rFonts w:hint="eastAsia" w:ascii="仿宋_GB2312" w:hAnsi="仿宋" w:eastAsia="仿宋_GB2312"/>
          <w:sz w:val="32"/>
          <w:szCs w:val="32"/>
        </w:rPr>
        <w:t>：根据我国现行政策规定，政府购买服务，是指充分发挥市场机制作用，将国家机关属于自身职责范围且适合通过市场化方式提供的服务事项，按照政府采购方式和程序，交由符合条件的服务供应商承担，并根据服务数量和质量等情况向其支付费用的行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六</w:t>
      </w:r>
      <w:r>
        <w:rPr>
          <w:rFonts w:hint="eastAsia" w:ascii="仿宋_GB2312" w:hAnsi="仿宋" w:eastAsia="仿宋_GB2312"/>
          <w:b/>
          <w:sz w:val="32"/>
          <w:szCs w:val="32"/>
        </w:rPr>
        <w:t>、一般公共预算：</w:t>
      </w:r>
      <w:r>
        <w:rPr>
          <w:rFonts w:hint="eastAsia" w:ascii="仿宋_GB2312" w:hAnsi="仿宋" w:eastAsia="仿宋_GB2312"/>
          <w:sz w:val="32"/>
          <w:szCs w:val="32"/>
        </w:rPr>
        <w:t>是指以税收为主体的财政收入，安排用于保障和改善民生、推动经济社会发展、维护国家安全、维持国家机构正常运转等方面的收支预算。</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七</w:t>
      </w:r>
      <w:r>
        <w:rPr>
          <w:rFonts w:hint="eastAsia" w:ascii="仿宋_GB2312" w:hAnsi="仿宋" w:eastAsia="仿宋_GB2312"/>
          <w:b/>
          <w:sz w:val="32"/>
          <w:szCs w:val="32"/>
        </w:rPr>
        <w:t>、政府性基金预算</w:t>
      </w:r>
      <w:r>
        <w:rPr>
          <w:rFonts w:hint="eastAsia" w:ascii="仿宋_GB2312" w:hAnsi="仿宋" w:eastAsia="仿宋_GB2312"/>
          <w:sz w:val="32"/>
          <w:szCs w:val="32"/>
        </w:rPr>
        <w:t>：是对依照法律、行政法规的规定在一定期限内向特定对象征收、收取或者以其他方式筹集的资金，专项用于特定公共事业发展的收支预算。</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八</w:t>
      </w:r>
      <w:r>
        <w:rPr>
          <w:rFonts w:hint="eastAsia" w:ascii="仿宋_GB2312" w:hAnsi="仿宋" w:eastAsia="仿宋_GB2312"/>
          <w:b/>
          <w:sz w:val="32"/>
          <w:szCs w:val="32"/>
        </w:rPr>
        <w:t>、国有资本经营预算</w:t>
      </w:r>
      <w:r>
        <w:rPr>
          <w:rFonts w:hint="eastAsia" w:ascii="仿宋_GB2312" w:hAnsi="仿宋" w:eastAsia="仿宋_GB2312"/>
          <w:sz w:val="32"/>
          <w:szCs w:val="32"/>
        </w:rPr>
        <w:t>：是对国有资本收益作出支出安排的收支预算。</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九</w:t>
      </w:r>
      <w:r>
        <w:rPr>
          <w:rFonts w:hint="eastAsia" w:ascii="仿宋_GB2312" w:hAnsi="仿宋" w:eastAsia="仿宋_GB2312"/>
          <w:b/>
          <w:sz w:val="32"/>
          <w:szCs w:val="32"/>
        </w:rPr>
        <w:t>、财政专户管理资金</w:t>
      </w:r>
      <w:r>
        <w:rPr>
          <w:rFonts w:hint="eastAsia" w:ascii="仿宋_GB2312" w:hAnsi="仿宋" w:eastAsia="仿宋_GB2312"/>
          <w:sz w:val="32"/>
          <w:szCs w:val="32"/>
        </w:rPr>
        <w:t xml:space="preserve">：专指教育收费，包括目前在财政专户管理的高中以上学费、住宿费，高校委托培养费，党校收费，教育考试考务费，函大、电大、夜大及短训班培训费等。  </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十</w:t>
      </w:r>
      <w:r>
        <w:rPr>
          <w:rFonts w:hint="eastAsia" w:ascii="仿宋_GB2312" w:hAnsi="仿宋" w:eastAsia="仿宋_GB2312"/>
          <w:b/>
          <w:sz w:val="32"/>
          <w:szCs w:val="32"/>
        </w:rPr>
        <w:t>、单位资金</w:t>
      </w:r>
      <w:r>
        <w:rPr>
          <w:rFonts w:hint="eastAsia" w:ascii="仿宋_GB2312" w:hAnsi="仿宋" w:eastAsia="仿宋_GB2312"/>
          <w:sz w:val="32"/>
          <w:szCs w:val="32"/>
        </w:rPr>
        <w:t>：是指除政府预算资金和财政专户管理资金以外的资金，包括事业收入、事业单位经营收入、上级补助收入、附属单位上缴收入、其他收入。</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十一</w:t>
      </w:r>
      <w:r>
        <w:rPr>
          <w:rFonts w:hint="eastAsia" w:ascii="仿宋_GB2312" w:hAnsi="仿宋" w:eastAsia="仿宋_GB2312"/>
          <w:b/>
          <w:sz w:val="32"/>
          <w:szCs w:val="32"/>
        </w:rPr>
        <w:t>、上年结转</w:t>
      </w:r>
      <w:r>
        <w:rPr>
          <w:rFonts w:hint="eastAsia" w:ascii="仿宋_GB2312" w:hAnsi="仿宋" w:eastAsia="仿宋_GB2312"/>
          <w:sz w:val="32"/>
          <w:szCs w:val="32"/>
        </w:rPr>
        <w:t>：指以前年度预算安排、结转到本年仍按原规定用途继续使用的资金。</w:t>
      </w:r>
    </w:p>
    <w:p>
      <w:pPr>
        <w:autoSpaceDE w:val="0"/>
        <w:autoSpaceDN w:val="0"/>
        <w:adjustRightInd w:val="0"/>
        <w:ind w:firstLine="640" w:firstLineChars="200"/>
        <w:rPr>
          <w:rFonts w:ascii="仿宋_GB2312" w:hAnsi="仿宋" w:eastAsia="仿宋_GB2312"/>
          <w:sz w:val="32"/>
          <w:szCs w:val="32"/>
        </w:rPr>
      </w:pPr>
    </w:p>
    <w:p>
      <w:pPr>
        <w:ind w:left="0" w:leftChars="0" w:firstLine="0" w:firstLineChars="0"/>
      </w:pPr>
    </w:p>
    <w:sectPr>
      <w:footerReference r:id="rId6" w:type="default"/>
      <w:pgSz w:w="11906" w:h="16838"/>
      <w:pgMar w:top="1440" w:right="1800" w:bottom="1440" w:left="1800"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56931C"/>
    <w:multiLevelType w:val="singleLevel"/>
    <w:tmpl w:val="4F56931C"/>
    <w:lvl w:ilvl="0" w:tentative="0">
      <w:start w:val="5"/>
      <w:numFmt w:val="chineseCounting"/>
      <w:suff w:val="nothing"/>
      <w:lvlText w:val="%1、"/>
      <w:lvlJc w:val="left"/>
      <w:pPr>
        <w:ind w:left="210"/>
      </w:pPr>
      <w:rPr>
        <w:rFonts w:hint="eastAsia"/>
      </w:rPr>
    </w:lvl>
  </w:abstractNum>
  <w:abstractNum w:abstractNumId="1">
    <w:nsid w:val="61E8ED11"/>
    <w:multiLevelType w:val="singleLevel"/>
    <w:tmpl w:val="61E8ED11"/>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2MDU2NmQ3NDBjMGM5NWFiNmQzMDJlM2ZlMjNhODIifQ=="/>
  </w:docVars>
  <w:rsids>
    <w:rsidRoot w:val="00172A27"/>
    <w:rsid w:val="007135EC"/>
    <w:rsid w:val="038F71C9"/>
    <w:rsid w:val="05E404DB"/>
    <w:rsid w:val="0B9F689C"/>
    <w:rsid w:val="0E4801B8"/>
    <w:rsid w:val="13E21AAB"/>
    <w:rsid w:val="19CF55F5"/>
    <w:rsid w:val="1FDD79C7"/>
    <w:rsid w:val="23C04D85"/>
    <w:rsid w:val="28DE7AB9"/>
    <w:rsid w:val="2D150F9D"/>
    <w:rsid w:val="35FC1E9F"/>
    <w:rsid w:val="38D17360"/>
    <w:rsid w:val="392B4CC2"/>
    <w:rsid w:val="3F7B0026"/>
    <w:rsid w:val="52082F87"/>
    <w:rsid w:val="59E44EA7"/>
    <w:rsid w:val="63CE4064"/>
    <w:rsid w:val="69097515"/>
    <w:rsid w:val="71941A67"/>
    <w:rsid w:val="73B01345"/>
    <w:rsid w:val="78085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40" w:firstLineChars="200"/>
      <w:jc w:val="both"/>
    </w:pPr>
    <w:rPr>
      <w:rFonts w:ascii="Times New Roman" w:hAnsi="Times New Roman" w:eastAsia="仿宋_GB2312" w:cs="Times New Roman"/>
      <w:kern w:val="2"/>
      <w:sz w:val="32"/>
      <w:szCs w:val="21"/>
      <w:lang w:val="en-US" w:eastAsia="zh-CN" w:bidi="ar-SA"/>
    </w:rPr>
  </w:style>
  <w:style w:type="paragraph" w:styleId="2">
    <w:name w:val="heading 1"/>
    <w:basedOn w:val="1"/>
    <w:next w:val="1"/>
    <w:qFormat/>
    <w:uiPriority w:val="0"/>
    <w:pPr>
      <w:spacing w:line="600" w:lineRule="exact"/>
      <w:ind w:firstLine="0" w:firstLineChars="0"/>
      <w:jc w:val="center"/>
      <w:outlineLvl w:val="0"/>
    </w:pPr>
    <w:rPr>
      <w:rFonts w:hint="eastAsia" w:ascii="宋体" w:hAnsi="宋体" w:eastAsia="黑体"/>
      <w:b/>
      <w:kern w:val="44"/>
      <w:sz w:val="36"/>
      <w:szCs w:val="48"/>
    </w:rPr>
  </w:style>
  <w:style w:type="paragraph" w:styleId="3">
    <w:name w:val="heading 2"/>
    <w:basedOn w:val="1"/>
    <w:next w:val="1"/>
    <w:unhideWhenUsed/>
    <w:qFormat/>
    <w:uiPriority w:val="0"/>
    <w:pPr>
      <w:keepNext/>
      <w:keepLines/>
      <w:spacing w:beforeLines="0" w:beforeAutospacing="0" w:afterLines="0" w:afterAutospacing="0" w:line="240" w:lineRule="auto"/>
      <w:ind w:firstLine="0" w:firstLineChars="0"/>
      <w:outlineLvl w:val="1"/>
    </w:pPr>
    <w:rPr>
      <w:rFonts w:ascii="Arial" w:hAnsi="Arial"/>
      <w:b/>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1">
    <w:name w:val="font31"/>
    <w:basedOn w:val="10"/>
    <w:qFormat/>
    <w:uiPriority w:val="0"/>
    <w:rPr>
      <w:rFonts w:hint="eastAsia" w:ascii="微软雅黑" w:hAnsi="微软雅黑" w:eastAsia="微软雅黑" w:cs="微软雅黑"/>
      <w:color w:val="000000"/>
      <w:sz w:val="20"/>
      <w:szCs w:val="20"/>
      <w:u w:val="none"/>
    </w:rPr>
  </w:style>
  <w:style w:type="character" w:customStyle="1" w:styleId="12">
    <w:name w:val="font21"/>
    <w:basedOn w:val="10"/>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5011</Words>
  <Characters>6874</Characters>
  <Lines>0</Lines>
  <Paragraphs>0</Paragraphs>
  <TotalTime>21</TotalTime>
  <ScaleCrop>false</ScaleCrop>
  <LinksUpToDate>false</LinksUpToDate>
  <CharactersWithSpaces>7128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2022-03-18T09:40:00Z</dcterms:created>
  <dc:creator>J.X.Y</dc:creator>
  <cp:lastModifiedBy>~ing</cp:lastModifiedBy>
  <dcterms:modified xsi:type="dcterms:W3CDTF">2023-09-28T08:58:30Z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751A778C170D41F5B527D227769C7F33_13</vt:lpwstr>
  </property>
</Properties>
</file>