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Times New Roman" w:hAnsi="Times New Roman" w:eastAsia="方正小标宋简体" w:cs="方正仿宋简体"/>
          <w:color w:val="000000"/>
          <w:sz w:val="32"/>
          <w:szCs w:val="32"/>
        </w:rPr>
      </w:pPr>
      <w:r>
        <w:rPr>
          <w:rFonts w:hint="eastAsia" w:ascii="Times New Roman" w:hAnsi="Times New Roman" w:eastAsia="方正小标宋简体" w:cs="方正仿宋简体"/>
          <w:color w:val="000000"/>
          <w:sz w:val="32"/>
          <w:szCs w:val="32"/>
        </w:rPr>
        <w:t>大同市产品质量监督抽查实施细则</w:t>
      </w:r>
    </w:p>
    <w:p>
      <w:pPr>
        <w:spacing w:line="500" w:lineRule="exact"/>
        <w:jc w:val="center"/>
        <w:rPr>
          <w:rFonts w:hint="eastAsia" w:ascii="Times New Roman" w:hAnsi="Times New Roman" w:eastAsia="方正小标宋简体" w:cs="方正仿宋简体"/>
          <w:color w:val="000000"/>
          <w:sz w:val="32"/>
          <w:szCs w:val="32"/>
          <w:lang w:val="en-US" w:eastAsia="zh-CN"/>
        </w:rPr>
      </w:pPr>
      <w:r>
        <w:rPr>
          <w:rFonts w:hint="eastAsia" w:ascii="Times New Roman" w:hAnsi="Times New Roman" w:eastAsia="方正小标宋简体" w:cs="方正仿宋简体"/>
          <w:color w:val="000000"/>
          <w:sz w:val="32"/>
          <w:szCs w:val="32"/>
          <w:lang w:val="en-US" w:eastAsia="zh-CN"/>
        </w:rPr>
        <w:t>钢制管法兰</w:t>
      </w:r>
    </w:p>
    <w:p>
      <w:pPr>
        <w:spacing w:line="500" w:lineRule="exact"/>
        <w:ind w:firstLine="640" w:firstLineChars="200"/>
        <w:jc w:val="center"/>
        <w:rPr>
          <w:rFonts w:hint="eastAsia" w:ascii="Times New Roman" w:hAnsi="Times New Roman" w:eastAsia="方正小标宋简体" w:cs="方正仿宋简体"/>
          <w:color w:val="000000"/>
          <w:sz w:val="32"/>
          <w:szCs w:val="32"/>
          <w:lang w:val="en-US" w:eastAsia="zh-CN"/>
        </w:rPr>
      </w:pPr>
    </w:p>
    <w:p>
      <w:pPr>
        <w:spacing w:line="500" w:lineRule="exact"/>
        <w:rPr>
          <w:rFonts w:hint="eastAsia" w:ascii="黑体" w:hAnsi="黑体" w:eastAsia="黑体" w:cs="黑体"/>
          <w:b/>
          <w:bCs/>
          <w:color w:val="000000"/>
          <w:szCs w:val="21"/>
        </w:rPr>
      </w:pPr>
      <w:r>
        <w:rPr>
          <w:rFonts w:hint="eastAsia" w:ascii="黑体" w:hAnsi="黑体" w:eastAsia="黑体" w:cs="黑体"/>
          <w:b/>
          <w:bCs/>
          <w:color w:val="000000"/>
          <w:szCs w:val="21"/>
        </w:rPr>
        <w:t>1 抽样方法</w:t>
      </w:r>
    </w:p>
    <w:p>
      <w:pPr>
        <w:adjustRightInd w:val="0"/>
        <w:snapToGrid w:val="0"/>
        <w:spacing w:line="500" w:lineRule="exact"/>
        <w:ind w:firstLine="417" w:firstLineChars="199"/>
        <w:rPr>
          <w:rFonts w:hint="eastAsia" w:ascii="Times New Roman" w:hAnsi="Times New Roman"/>
          <w:color w:val="000000"/>
          <w:szCs w:val="21"/>
        </w:rPr>
      </w:pPr>
      <w:r>
        <w:rPr>
          <w:rFonts w:hint="eastAsia" w:ascii="Times New Roman" w:hAnsi="Times New Roman"/>
          <w:color w:val="000000"/>
          <w:szCs w:val="21"/>
        </w:rPr>
        <w:t>以随机抽样的方式在被抽样生产者、销售者的待销产品中抽取。</w:t>
      </w:r>
    </w:p>
    <w:p>
      <w:pPr>
        <w:adjustRightInd w:val="0"/>
        <w:snapToGrid w:val="0"/>
        <w:spacing w:line="500" w:lineRule="exact"/>
        <w:ind w:firstLine="417" w:firstLineChars="199"/>
        <w:rPr>
          <w:rFonts w:hint="eastAsia" w:ascii="Times New Roman" w:hAnsi="Times New Roman"/>
          <w:color w:val="000000"/>
          <w:szCs w:val="21"/>
        </w:rPr>
      </w:pPr>
      <w:r>
        <w:rPr>
          <w:rFonts w:hint="eastAsia" w:ascii="Times New Roman" w:hAnsi="Times New Roman"/>
          <w:color w:val="000000"/>
          <w:szCs w:val="21"/>
        </w:rPr>
        <w:t>随机数一般可使用随机数表等方法产生。</w:t>
      </w:r>
    </w:p>
    <w:p>
      <w:pPr>
        <w:adjustRightInd w:val="0"/>
        <w:snapToGrid w:val="0"/>
        <w:spacing w:line="500" w:lineRule="exact"/>
        <w:ind w:firstLine="417" w:firstLineChars="199"/>
        <w:rPr>
          <w:rFonts w:hint="eastAsia" w:ascii="Times New Roman" w:hAnsi="Times New Roman"/>
          <w:color w:val="000000"/>
          <w:szCs w:val="21"/>
        </w:rPr>
      </w:pPr>
      <w:r>
        <w:rPr>
          <w:rFonts w:hint="eastAsia" w:ascii="Times New Roman" w:hAnsi="Times New Roman"/>
          <w:color w:val="000000"/>
          <w:szCs w:val="21"/>
        </w:rPr>
        <w:t>每批次产品抽取</w:t>
      </w:r>
      <w:r>
        <w:rPr>
          <w:rFonts w:hint="eastAsia" w:ascii="Times New Roman" w:hAnsi="Times New Roman"/>
          <w:color w:val="000000"/>
          <w:szCs w:val="21"/>
          <w:lang w:val="en-US" w:eastAsia="zh-CN"/>
        </w:rPr>
        <w:t>样品2件</w:t>
      </w:r>
      <w:r>
        <w:rPr>
          <w:rFonts w:hint="eastAsia" w:ascii="Times New Roman" w:hAnsi="Times New Roman"/>
          <w:color w:val="000000"/>
          <w:szCs w:val="21"/>
        </w:rPr>
        <w:t>，</w:t>
      </w:r>
      <w:r>
        <w:rPr>
          <w:rFonts w:hint="eastAsia" w:ascii="Times New Roman" w:hAnsi="Times New Roman"/>
          <w:color w:val="000000"/>
          <w:szCs w:val="21"/>
          <w:lang w:val="en-US" w:eastAsia="zh-CN"/>
        </w:rPr>
        <w:t>其中1件作为检验样品，1件作为</w:t>
      </w:r>
      <w:r>
        <w:rPr>
          <w:rFonts w:hint="eastAsia" w:ascii="Times New Roman" w:hAnsi="Times New Roman"/>
          <w:color w:val="000000"/>
          <w:szCs w:val="21"/>
        </w:rPr>
        <w:t xml:space="preserve">备用样品。 </w:t>
      </w:r>
    </w:p>
    <w:p>
      <w:pPr>
        <w:spacing w:line="500" w:lineRule="exact"/>
        <w:rPr>
          <w:rFonts w:ascii="黑体" w:hAnsi="黑体" w:eastAsia="黑体" w:cs="黑体"/>
          <w:b/>
          <w:bCs/>
          <w:color w:val="000000"/>
          <w:szCs w:val="21"/>
        </w:rPr>
      </w:pPr>
      <w:r>
        <w:rPr>
          <w:rFonts w:hint="eastAsia" w:ascii="黑体" w:hAnsi="黑体" w:eastAsia="黑体" w:cs="黑体"/>
          <w:b/>
          <w:bCs/>
          <w:color w:val="000000"/>
          <w:szCs w:val="21"/>
        </w:rPr>
        <w:t>2 检验依据</w:t>
      </w:r>
    </w:p>
    <w:p>
      <w:pPr>
        <w:adjustRightInd w:val="0"/>
        <w:snapToGrid w:val="0"/>
        <w:spacing w:line="500" w:lineRule="exact"/>
        <w:ind w:firstLine="420"/>
        <w:jc w:val="center"/>
        <w:rPr>
          <w:rFonts w:hint="eastAsia" w:ascii="Times New Roman" w:hAnsi="Times New Roman" w:eastAsia="宋体"/>
          <w:color w:val="000000"/>
          <w:szCs w:val="21"/>
          <w:lang w:val="en-US" w:eastAsia="zh-CN"/>
        </w:rPr>
      </w:pPr>
      <w:r>
        <w:rPr>
          <w:rFonts w:hint="eastAsia" w:ascii="Times New Roman" w:hAnsi="Times New Roman"/>
          <w:color w:val="000000"/>
          <w:szCs w:val="21"/>
        </w:rPr>
        <w:t>表</w:t>
      </w:r>
      <w:r>
        <w:rPr>
          <w:rFonts w:ascii="Times New Roman" w:hAnsi="Times New Roman"/>
          <w:color w:val="000000"/>
          <w:szCs w:val="21"/>
        </w:rPr>
        <w:t xml:space="preserve">1  </w:t>
      </w:r>
      <w:r>
        <w:rPr>
          <w:rFonts w:hint="eastAsia" w:ascii="Times New Roman" w:hAnsi="Times New Roman"/>
          <w:color w:val="000000"/>
          <w:szCs w:val="21"/>
          <w:lang w:val="en-US" w:eastAsia="zh-CN"/>
        </w:rPr>
        <w:t>钢制管法兰</w:t>
      </w:r>
    </w:p>
    <w:tbl>
      <w:tblPr>
        <w:tblStyle w:val="4"/>
        <w:tblW w:w="476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6"/>
        <w:gridCol w:w="1964"/>
        <w:gridCol w:w="52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564" w:type="pct"/>
            <w:vAlign w:val="center"/>
          </w:tcPr>
          <w:p>
            <w:pPr>
              <w:adjustRightInd w:val="0"/>
              <w:snapToGrid w:val="0"/>
              <w:spacing w:line="500" w:lineRule="exact"/>
              <w:jc w:val="center"/>
              <w:rPr>
                <w:rFonts w:ascii="Times New Roman" w:hAnsi="Times New Roman"/>
                <w:color w:val="000000"/>
                <w:szCs w:val="21"/>
              </w:rPr>
            </w:pPr>
            <w:r>
              <w:rPr>
                <w:rFonts w:hint="eastAsia" w:ascii="Times New Roman" w:hAnsi="Times New Roman"/>
                <w:color w:val="000000"/>
                <w:szCs w:val="21"/>
              </w:rPr>
              <w:t>序号</w:t>
            </w:r>
          </w:p>
        </w:tc>
        <w:tc>
          <w:tcPr>
            <w:tcW w:w="1210" w:type="pct"/>
            <w:vAlign w:val="center"/>
          </w:tcPr>
          <w:p>
            <w:pPr>
              <w:adjustRightInd w:val="0"/>
              <w:snapToGrid w:val="0"/>
              <w:spacing w:line="500" w:lineRule="exact"/>
              <w:jc w:val="center"/>
              <w:rPr>
                <w:rFonts w:ascii="Times New Roman" w:hAnsi="Times New Roman"/>
                <w:color w:val="000000"/>
                <w:szCs w:val="21"/>
              </w:rPr>
            </w:pPr>
            <w:r>
              <w:rPr>
                <w:rFonts w:hint="eastAsia" w:ascii="Times New Roman" w:hAnsi="Times New Roman"/>
                <w:color w:val="000000"/>
                <w:szCs w:val="21"/>
              </w:rPr>
              <w:t>检验项目</w:t>
            </w:r>
          </w:p>
        </w:tc>
        <w:tc>
          <w:tcPr>
            <w:tcW w:w="3225" w:type="pct"/>
            <w:vAlign w:val="center"/>
          </w:tcPr>
          <w:p>
            <w:pPr>
              <w:adjustRightInd w:val="0"/>
              <w:snapToGrid w:val="0"/>
              <w:spacing w:line="500" w:lineRule="exact"/>
              <w:jc w:val="center"/>
              <w:rPr>
                <w:rFonts w:ascii="Times New Roman" w:hAnsi="Times New Roman"/>
                <w:color w:val="000000"/>
                <w:szCs w:val="21"/>
              </w:rPr>
            </w:pPr>
            <w:r>
              <w:rPr>
                <w:rFonts w:hint="eastAsia" w:ascii="Times New Roman" w:hAnsi="Times New Roman"/>
                <w:color w:val="000000"/>
                <w:szCs w:val="21"/>
              </w:rPr>
              <w:t>检验方法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564" w:type="pct"/>
            <w:vAlign w:val="center"/>
          </w:tcPr>
          <w:p>
            <w:pPr>
              <w:adjustRightInd w:val="0"/>
              <w:snapToGrid w:val="0"/>
              <w:spacing w:line="500" w:lineRule="exact"/>
              <w:jc w:val="center"/>
              <w:rPr>
                <w:rFonts w:ascii="Times New Roman" w:hAnsi="Times New Roman"/>
                <w:color w:val="000000"/>
                <w:szCs w:val="21"/>
              </w:rPr>
            </w:pPr>
            <w:r>
              <w:rPr>
                <w:rFonts w:hint="eastAsia" w:ascii="Times New Roman" w:hAnsi="Times New Roman"/>
                <w:color w:val="000000"/>
                <w:szCs w:val="21"/>
              </w:rPr>
              <w:t>1</w:t>
            </w:r>
          </w:p>
        </w:tc>
        <w:tc>
          <w:tcPr>
            <w:tcW w:w="1210" w:type="pct"/>
            <w:vAlign w:val="center"/>
          </w:tcPr>
          <w:p>
            <w:pPr>
              <w:adjustRightInd w:val="0"/>
              <w:snapToGrid w:val="0"/>
              <w:jc w:val="center"/>
              <w:rPr>
                <w:rFonts w:hint="default" w:ascii="Times New Roman" w:hAnsi="Times New Roman" w:eastAsia="宋体"/>
                <w:color w:val="000000"/>
                <w:szCs w:val="21"/>
                <w:lang w:val="en-US" w:eastAsia="zh-CN"/>
              </w:rPr>
            </w:pPr>
            <w:r>
              <w:rPr>
                <w:rFonts w:hint="eastAsia" w:ascii="Times New Roman" w:hAnsi="Times New Roman"/>
                <w:color w:val="000000"/>
                <w:szCs w:val="21"/>
                <w:lang w:val="en-US" w:eastAsia="zh-CN"/>
              </w:rPr>
              <w:t>尺寸（PN系列）</w:t>
            </w:r>
          </w:p>
        </w:tc>
        <w:tc>
          <w:tcPr>
            <w:tcW w:w="3225" w:type="pct"/>
            <w:vAlign w:val="center"/>
          </w:tcPr>
          <w:p>
            <w:pPr>
              <w:jc w:val="center"/>
              <w:rPr>
                <w:rFonts w:ascii="Times New Roman" w:hAnsi="Times New Roman"/>
                <w:color w:val="000000"/>
                <w:szCs w:val="21"/>
              </w:rPr>
            </w:pPr>
            <w:r>
              <w:rPr>
                <w:rFonts w:ascii="宋体" w:hAnsi="宋体" w:eastAsia="宋体" w:cs="宋体"/>
                <w:sz w:val="24"/>
                <w:szCs w:val="24"/>
              </w:rPr>
              <w:t xml:space="preserve"> </w:t>
            </w:r>
            <w:r>
              <w:rPr>
                <w:rFonts w:hint="eastAsia" w:ascii="宋体" w:hAnsi="宋体" w:cs="宋体"/>
                <w:sz w:val="24"/>
                <w:szCs w:val="24"/>
                <w:lang w:val="en-US" w:eastAsia="zh-CN"/>
              </w:rPr>
              <w:t>GB/T9124.1-2019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564" w:type="pct"/>
            <w:vAlign w:val="center"/>
          </w:tcPr>
          <w:p>
            <w:pPr>
              <w:adjustRightInd w:val="0"/>
              <w:snapToGrid w:val="0"/>
              <w:spacing w:line="500" w:lineRule="exact"/>
              <w:jc w:val="center"/>
              <w:rPr>
                <w:rFonts w:ascii="Times New Roman" w:hAnsi="Times New Roman"/>
                <w:color w:val="000000"/>
                <w:szCs w:val="21"/>
              </w:rPr>
            </w:pPr>
            <w:r>
              <w:rPr>
                <w:rFonts w:hint="eastAsia" w:ascii="Times New Roman" w:hAnsi="Times New Roman"/>
                <w:color w:val="000000"/>
                <w:szCs w:val="21"/>
              </w:rPr>
              <w:t>2</w:t>
            </w:r>
          </w:p>
        </w:tc>
        <w:tc>
          <w:tcPr>
            <w:tcW w:w="1210" w:type="pct"/>
            <w:vAlign w:val="center"/>
          </w:tcPr>
          <w:p>
            <w:pPr>
              <w:adjustRightInd w:val="0"/>
              <w:snapToGrid w:val="0"/>
              <w:jc w:val="center"/>
              <w:rPr>
                <w:rFonts w:hint="eastAsia" w:ascii="Times New Roman" w:hAnsi="Times New Roman" w:eastAsia="宋体"/>
                <w:color w:val="000000"/>
                <w:szCs w:val="21"/>
                <w:lang w:eastAsia="zh-CN"/>
              </w:rPr>
            </w:pPr>
            <w:r>
              <w:rPr>
                <w:rFonts w:hint="eastAsia" w:ascii="Times New Roman" w:hAnsi="Times New Roman"/>
                <w:color w:val="000000"/>
                <w:szCs w:val="21"/>
                <w:lang w:val="en-US" w:eastAsia="zh-CN"/>
              </w:rPr>
              <w:t>尺寸（Class系列）</w:t>
            </w:r>
          </w:p>
        </w:tc>
        <w:tc>
          <w:tcPr>
            <w:tcW w:w="3225" w:type="pct"/>
            <w:vAlign w:val="center"/>
          </w:tcPr>
          <w:p>
            <w:pPr>
              <w:jc w:val="center"/>
              <w:rPr>
                <w:rFonts w:ascii="Times New Roman" w:hAnsi="Times New Roman"/>
                <w:color w:val="000000"/>
                <w:szCs w:val="21"/>
              </w:rPr>
            </w:pPr>
            <w:r>
              <w:rPr>
                <w:rFonts w:hint="eastAsia" w:ascii="宋体" w:hAnsi="宋体" w:cs="宋体"/>
                <w:sz w:val="24"/>
                <w:szCs w:val="24"/>
                <w:lang w:val="en-US" w:eastAsia="zh-CN"/>
              </w:rPr>
              <w:t>GB/T9124.2-2019</w:t>
            </w:r>
          </w:p>
        </w:tc>
      </w:tr>
    </w:tbl>
    <w:p>
      <w:pPr>
        <w:adjustRightInd w:val="0"/>
        <w:snapToGrid w:val="0"/>
        <w:spacing w:line="500" w:lineRule="exact"/>
        <w:ind w:firstLine="417" w:firstLineChars="199"/>
        <w:rPr>
          <w:rFonts w:hint="eastAsia" w:ascii="Times New Roman" w:hAnsi="Times New Roman"/>
          <w:color w:val="000000"/>
          <w:szCs w:val="21"/>
        </w:rPr>
      </w:pPr>
      <w:r>
        <w:rPr>
          <w:rFonts w:hint="eastAsia" w:ascii="Times New Roman" w:hAnsi="Times New Roman"/>
          <w:color w:val="000000"/>
          <w:szCs w:val="21"/>
        </w:rPr>
        <w:t>执行企业标准、团体标准、地方标准的产品，检验项目参照上述内容执行。</w:t>
      </w:r>
    </w:p>
    <w:p>
      <w:pPr>
        <w:adjustRightInd w:val="0"/>
        <w:snapToGrid w:val="0"/>
        <w:spacing w:line="500" w:lineRule="exact"/>
        <w:ind w:firstLine="417" w:firstLineChars="199"/>
        <w:rPr>
          <w:rFonts w:hint="eastAsia" w:ascii="Times New Roman" w:hAnsi="Times New Roman"/>
          <w:color w:val="000000"/>
          <w:szCs w:val="21"/>
        </w:rPr>
      </w:pPr>
      <w:r>
        <w:rPr>
          <w:rFonts w:hint="eastAsia" w:ascii="Times New Roman" w:hAnsi="Times New Roman"/>
          <w:color w:val="000000"/>
          <w:szCs w:val="21"/>
        </w:rPr>
        <w:t>凡是注日期的文件，其随后所有的修改单（不包括勘误的内容）或修订版不适用于本细则。凡是不注日期的文件，其最新版本适用于本细则。</w:t>
      </w:r>
    </w:p>
    <w:p>
      <w:pPr>
        <w:spacing w:line="500" w:lineRule="exact"/>
        <w:rPr>
          <w:rFonts w:ascii="黑体" w:hAnsi="黑体" w:eastAsia="黑体" w:cs="黑体"/>
          <w:b/>
          <w:bCs/>
          <w:color w:val="000000"/>
          <w:szCs w:val="21"/>
        </w:rPr>
      </w:pPr>
      <w:r>
        <w:rPr>
          <w:rFonts w:hint="eastAsia" w:ascii="黑体" w:hAnsi="黑体" w:eastAsia="黑体" w:cs="黑体"/>
          <w:b/>
          <w:bCs/>
          <w:color w:val="000000"/>
          <w:szCs w:val="21"/>
        </w:rPr>
        <w:t>3判定原则及判定结论用语</w:t>
      </w:r>
    </w:p>
    <w:p>
      <w:pPr>
        <w:adjustRightInd w:val="0"/>
        <w:snapToGrid w:val="0"/>
        <w:spacing w:line="500" w:lineRule="exact"/>
        <w:ind w:firstLine="417" w:firstLineChars="199"/>
        <w:rPr>
          <w:rFonts w:hint="eastAsia" w:ascii="Times New Roman" w:hAnsi="Times New Roman"/>
          <w:color w:val="000000"/>
          <w:szCs w:val="21"/>
        </w:rPr>
      </w:pPr>
      <w:r>
        <w:rPr>
          <w:rFonts w:hint="eastAsia" w:ascii="Times New Roman" w:hAnsi="Times New Roman"/>
          <w:color w:val="000000"/>
          <w:szCs w:val="21"/>
        </w:rPr>
        <w:t>3.1依据标准</w:t>
      </w:r>
    </w:p>
    <w:p>
      <w:pPr>
        <w:adjustRightInd w:val="0"/>
        <w:snapToGrid w:val="0"/>
        <w:spacing w:line="500" w:lineRule="exact"/>
        <w:ind w:firstLine="417" w:firstLineChars="199"/>
        <w:rPr>
          <w:rFonts w:hint="eastAsia" w:ascii="Times New Roman" w:hAnsi="Times New Roman"/>
          <w:color w:val="000000"/>
          <w:szCs w:val="21"/>
          <w:lang w:eastAsia="zh-CN"/>
        </w:rPr>
      </w:pPr>
      <w:r>
        <w:rPr>
          <w:rFonts w:hint="eastAsia" w:ascii="Times New Roman" w:hAnsi="Times New Roman"/>
          <w:color w:val="000000"/>
          <w:szCs w:val="21"/>
        </w:rPr>
        <w:t xml:space="preserve"> </w:t>
      </w:r>
      <w:r>
        <w:rPr>
          <w:rFonts w:hint="eastAsia" w:ascii="Times New Roman" w:hAnsi="Times New Roman"/>
          <w:color w:val="000000"/>
          <w:szCs w:val="21"/>
          <w:lang w:val="en-US" w:eastAsia="zh-CN"/>
        </w:rPr>
        <w:t xml:space="preserve"> GB/T9124.1-2019</w:t>
      </w:r>
      <w:r>
        <w:rPr>
          <w:rFonts w:hint="eastAsia" w:ascii="Times New Roman" w:hAnsi="Times New Roman"/>
          <w:color w:val="000000"/>
          <w:szCs w:val="21"/>
        </w:rPr>
        <w:t>《</w:t>
      </w:r>
      <w:r>
        <w:rPr>
          <w:rFonts w:hint="eastAsia" w:ascii="Times New Roman" w:hAnsi="Times New Roman"/>
          <w:color w:val="000000"/>
          <w:szCs w:val="21"/>
          <w:lang w:val="en-US" w:eastAsia="zh-CN"/>
        </w:rPr>
        <w:t>钢制管法兰 第1部分：PN系列</w:t>
      </w:r>
      <w:r>
        <w:rPr>
          <w:rFonts w:hint="eastAsia" w:ascii="Times New Roman" w:hAnsi="Times New Roman"/>
          <w:color w:val="000000"/>
          <w:szCs w:val="21"/>
        </w:rPr>
        <w:t>》</w:t>
      </w:r>
    </w:p>
    <w:p>
      <w:pPr>
        <w:adjustRightInd w:val="0"/>
        <w:snapToGrid w:val="0"/>
        <w:spacing w:line="500" w:lineRule="exact"/>
        <w:ind w:firstLine="630" w:firstLineChars="300"/>
        <w:rPr>
          <w:rFonts w:hint="eastAsia" w:ascii="Times New Roman" w:hAnsi="Times New Roman"/>
          <w:color w:val="000000"/>
          <w:szCs w:val="21"/>
          <w:lang w:eastAsia="zh-CN"/>
        </w:rPr>
      </w:pPr>
      <w:r>
        <w:rPr>
          <w:rFonts w:hint="eastAsia" w:ascii="Times New Roman" w:hAnsi="Times New Roman"/>
          <w:color w:val="000000"/>
          <w:szCs w:val="21"/>
          <w:lang w:val="en-US" w:eastAsia="zh-CN"/>
        </w:rPr>
        <w:t>GB/T9124.2-2019</w:t>
      </w:r>
      <w:r>
        <w:rPr>
          <w:rFonts w:hint="eastAsia" w:ascii="Times New Roman" w:hAnsi="Times New Roman"/>
          <w:color w:val="000000"/>
          <w:szCs w:val="21"/>
        </w:rPr>
        <w:t>《</w:t>
      </w:r>
      <w:r>
        <w:rPr>
          <w:rFonts w:hint="eastAsia" w:ascii="Times New Roman" w:hAnsi="Times New Roman"/>
          <w:color w:val="000000"/>
          <w:szCs w:val="21"/>
          <w:lang w:val="en-US" w:eastAsia="zh-CN"/>
        </w:rPr>
        <w:t>钢制管法兰 第2部分：Class系列</w:t>
      </w:r>
      <w:r>
        <w:rPr>
          <w:rFonts w:hint="eastAsia" w:ascii="Times New Roman" w:hAnsi="Times New Roman"/>
          <w:color w:val="000000"/>
          <w:szCs w:val="21"/>
        </w:rPr>
        <w:t>》</w:t>
      </w:r>
    </w:p>
    <w:p>
      <w:pPr>
        <w:adjustRightInd w:val="0"/>
        <w:snapToGrid w:val="0"/>
        <w:spacing w:line="500" w:lineRule="exact"/>
        <w:ind w:firstLine="417" w:firstLineChars="199"/>
        <w:rPr>
          <w:rFonts w:hint="eastAsia" w:ascii="Times New Roman" w:hAnsi="Times New Roman"/>
          <w:color w:val="000000"/>
          <w:szCs w:val="21"/>
        </w:rPr>
      </w:pPr>
      <w:r>
        <w:rPr>
          <w:rFonts w:hint="eastAsia" w:ascii="Times New Roman" w:hAnsi="Times New Roman"/>
          <w:color w:val="000000"/>
          <w:szCs w:val="21"/>
        </w:rPr>
        <w:t>现行有效的企业标准、团体标准、地方标准及产品明示质量要求</w:t>
      </w:r>
    </w:p>
    <w:p>
      <w:pPr>
        <w:adjustRightInd w:val="0"/>
        <w:snapToGrid w:val="0"/>
        <w:spacing w:line="500" w:lineRule="exact"/>
        <w:ind w:firstLine="417" w:firstLineChars="199"/>
        <w:rPr>
          <w:rFonts w:hint="eastAsia" w:ascii="Times New Roman" w:hAnsi="Times New Roman"/>
          <w:color w:val="000000"/>
          <w:szCs w:val="21"/>
        </w:rPr>
      </w:pPr>
      <w:r>
        <w:rPr>
          <w:rFonts w:hint="eastAsia" w:ascii="Times New Roman" w:hAnsi="Times New Roman"/>
          <w:color w:val="000000"/>
          <w:szCs w:val="21"/>
        </w:rPr>
        <w:t>3.2判定原则</w:t>
      </w:r>
    </w:p>
    <w:p>
      <w:pPr>
        <w:adjustRightInd w:val="0"/>
        <w:snapToGrid w:val="0"/>
        <w:spacing w:line="500" w:lineRule="exact"/>
        <w:ind w:firstLine="417" w:firstLineChars="199"/>
        <w:rPr>
          <w:rFonts w:hint="eastAsia" w:ascii="Times New Roman" w:hAnsi="Times New Roman"/>
          <w:color w:val="000000"/>
          <w:szCs w:val="21"/>
        </w:rPr>
      </w:pPr>
      <w:r>
        <w:rPr>
          <w:rFonts w:hint="eastAsia" w:ascii="Times New Roman" w:hAnsi="Times New Roman"/>
          <w:color w:val="000000"/>
          <w:szCs w:val="21"/>
        </w:rPr>
        <w:t>经检验，检验项目全部合格，判定为被抽查产品所检项目未发现不合格；检验项目中任一项或一项以上不合格，判定为被抽查产品不合格。</w:t>
      </w:r>
    </w:p>
    <w:p>
      <w:pPr>
        <w:adjustRightInd w:val="0"/>
        <w:snapToGrid w:val="0"/>
        <w:spacing w:line="500" w:lineRule="exact"/>
        <w:ind w:firstLine="417" w:firstLineChars="199"/>
        <w:rPr>
          <w:rFonts w:hint="eastAsia" w:ascii="Times New Roman" w:hAnsi="Times New Roman"/>
          <w:color w:val="000000"/>
          <w:szCs w:val="21"/>
        </w:rPr>
      </w:pPr>
      <w:r>
        <w:rPr>
          <w:rFonts w:hint="eastAsia" w:ascii="Times New Roman" w:hAnsi="Times New Roman"/>
          <w:color w:val="000000"/>
          <w:szCs w:val="21"/>
        </w:rPr>
        <w:t>若被检产品明示的质量要求高于本细则中检验项目依据的标准要求时，应按被检产品明示的质量要求判定。</w:t>
      </w:r>
    </w:p>
    <w:p>
      <w:pPr>
        <w:adjustRightInd w:val="0"/>
        <w:snapToGrid w:val="0"/>
        <w:spacing w:line="500" w:lineRule="exact"/>
        <w:ind w:firstLine="417" w:firstLineChars="199"/>
        <w:rPr>
          <w:rFonts w:ascii="Times New Roman" w:hAnsi="Times New Roman"/>
          <w:szCs w:val="21"/>
        </w:rPr>
      </w:pPr>
      <w:r>
        <w:rPr>
          <w:rFonts w:hint="eastAsia" w:ascii="Times New Roman" w:hAnsi="Times New Roman"/>
          <w:color w:val="000000"/>
          <w:szCs w:val="21"/>
        </w:rPr>
        <w:t>若被检产品明示的质量要求低于本细则中</w:t>
      </w:r>
      <w:r>
        <w:rPr>
          <w:rFonts w:hint="eastAsia" w:ascii="Times New Roman" w:hAnsi="Times New Roman"/>
          <w:szCs w:val="21"/>
        </w:rPr>
        <w:t>检验项目依据的强制性标准要求时，应按照强制性标准要求判定。</w:t>
      </w:r>
    </w:p>
    <w:p>
      <w:pPr>
        <w:adjustRightInd w:val="0"/>
        <w:snapToGrid w:val="0"/>
        <w:spacing w:line="500" w:lineRule="exact"/>
        <w:ind w:firstLine="417" w:firstLineChars="199"/>
        <w:rPr>
          <w:rFonts w:ascii="Times New Roman" w:hAnsi="Times New Roman"/>
          <w:color w:val="000000"/>
          <w:szCs w:val="21"/>
        </w:rPr>
      </w:pPr>
      <w:r>
        <w:rPr>
          <w:rFonts w:hint="eastAsia" w:ascii="Times New Roman" w:hAnsi="Times New Roman"/>
          <w:color w:val="000000"/>
          <w:szCs w:val="21"/>
        </w:rPr>
        <w:t>若被检产品明示的质量要求低于或包含本细则中检验项目依据的推荐性标准要求时，应以被检产品明示的质量要求判定。</w:t>
      </w:r>
    </w:p>
    <w:p>
      <w:pPr>
        <w:adjustRightInd w:val="0"/>
        <w:snapToGrid w:val="0"/>
        <w:spacing w:line="500" w:lineRule="exact"/>
        <w:ind w:firstLine="417" w:firstLineChars="199"/>
        <w:rPr>
          <w:rFonts w:ascii="Times New Roman" w:hAnsi="Times New Roman"/>
          <w:color w:val="000000"/>
          <w:szCs w:val="21"/>
        </w:rPr>
      </w:pPr>
      <w:r>
        <w:rPr>
          <w:rFonts w:hint="eastAsia" w:ascii="Times New Roman" w:hAnsi="Times New Roman"/>
          <w:color w:val="000000"/>
          <w:szCs w:val="21"/>
        </w:rPr>
        <w:t>若被检产品明示的质量要求缺少本细则中检验项目依据的强制性标准要求时，应按照强制性标准要求判定。</w:t>
      </w:r>
    </w:p>
    <w:p>
      <w:pPr>
        <w:adjustRightInd w:val="0"/>
        <w:snapToGrid w:val="0"/>
        <w:spacing w:line="500" w:lineRule="exact"/>
        <w:ind w:firstLine="417" w:firstLineChars="199"/>
        <w:rPr>
          <w:rFonts w:ascii="Times New Roman" w:hAnsi="Times New Roman"/>
          <w:color w:val="000000"/>
          <w:szCs w:val="21"/>
        </w:rPr>
      </w:pPr>
      <w:r>
        <w:rPr>
          <w:rFonts w:hint="eastAsia" w:ascii="Times New Roman" w:hAnsi="Times New Roman"/>
          <w:color w:val="000000"/>
          <w:szCs w:val="21"/>
        </w:rPr>
        <w:t>若被检产品明示的质量要求缺少本细则中检验项目依据的推荐性标准要求时，该项目不参与判定。</w:t>
      </w:r>
      <w:bookmarkStart w:id="0" w:name="_GoBack"/>
      <w:bookmarkEnd w:id="0"/>
    </w:p>
    <w:p>
      <w:pPr>
        <w:spacing w:line="500" w:lineRule="exact"/>
        <w:rPr>
          <w:rFonts w:ascii="Times New Roman" w:hAnsi="Times New Roman"/>
          <w:b/>
          <w:bCs/>
          <w:color w:val="000000"/>
          <w:szCs w:val="21"/>
        </w:rPr>
      </w:pPr>
      <w:r>
        <w:rPr>
          <w:rFonts w:ascii="Times New Roman" w:hAnsi="Times New Roman"/>
          <w:color w:val="000000"/>
          <w:szCs w:val="21"/>
        </w:rPr>
        <w:t xml:space="preserve">3.3 </w:t>
      </w:r>
      <w:r>
        <w:rPr>
          <w:rFonts w:hint="eastAsia" w:ascii="Times New Roman" w:hAnsi="Times New Roman"/>
          <w:color w:val="000000"/>
          <w:szCs w:val="21"/>
        </w:rPr>
        <w:t>判定结论用语：</w:t>
      </w:r>
    </w:p>
    <w:p>
      <w:pPr>
        <w:spacing w:line="500" w:lineRule="exact"/>
        <w:ind w:firstLine="420" w:firstLineChars="200"/>
        <w:rPr>
          <w:rFonts w:ascii="Times New Roman" w:hAnsi="Times New Roman"/>
          <w:color w:val="000000"/>
          <w:szCs w:val="21"/>
        </w:rPr>
      </w:pPr>
      <w:r>
        <w:rPr>
          <w:rFonts w:hint="eastAsia" w:ascii="Times New Roman" w:hAnsi="Times New Roman"/>
          <w:color w:val="000000"/>
          <w:szCs w:val="21"/>
        </w:rPr>
        <w:t>合格结论用语：经抽样检验，所检项目符合</w:t>
      </w:r>
      <w:r>
        <w:rPr>
          <w:rFonts w:ascii="宋体" w:hAnsi="宋体" w:eastAsia="宋体" w:cs="宋体"/>
          <w:sz w:val="24"/>
          <w:szCs w:val="24"/>
        </w:rPr>
        <w:t xml:space="preserve"> </w:t>
      </w:r>
      <w:r>
        <w:rPr>
          <w:rFonts w:hint="eastAsia" w:ascii="宋体" w:hAnsi="宋体" w:cs="宋体"/>
          <w:sz w:val="24"/>
          <w:szCs w:val="24"/>
          <w:lang w:val="en-US" w:eastAsia="zh-CN"/>
        </w:rPr>
        <w:t>GB/T9124.1-2019</w:t>
      </w:r>
      <w:r>
        <w:rPr>
          <w:rFonts w:hint="eastAsia" w:ascii="Times New Roman" w:hAnsi="Times New Roman"/>
          <w:color w:val="000000"/>
          <w:szCs w:val="21"/>
        </w:rPr>
        <w:t>《</w:t>
      </w:r>
      <w:r>
        <w:rPr>
          <w:rFonts w:hint="eastAsia" w:ascii="Times New Roman" w:hAnsi="Times New Roman"/>
          <w:color w:val="000000"/>
          <w:szCs w:val="21"/>
          <w:lang w:val="en-US" w:eastAsia="zh-CN"/>
        </w:rPr>
        <w:t>钢制管法兰 第1部分：PN系列</w:t>
      </w:r>
      <w:r>
        <w:rPr>
          <w:rFonts w:hint="eastAsia" w:ascii="Times New Roman" w:hAnsi="Times New Roman"/>
          <w:color w:val="000000"/>
          <w:szCs w:val="21"/>
        </w:rPr>
        <w:t>》</w:t>
      </w:r>
      <w:r>
        <w:rPr>
          <w:rFonts w:hint="eastAsia" w:ascii="Times New Roman" w:hAnsi="Times New Roman"/>
          <w:color w:val="000000"/>
          <w:szCs w:val="21"/>
          <w:lang w:eastAsia="zh-CN"/>
        </w:rPr>
        <w:t>、</w:t>
      </w:r>
      <w:r>
        <w:rPr>
          <w:rFonts w:hint="eastAsia" w:ascii="宋体" w:hAnsi="宋体" w:cs="宋体"/>
          <w:sz w:val="24"/>
          <w:szCs w:val="24"/>
          <w:lang w:val="en-US" w:eastAsia="zh-CN"/>
        </w:rPr>
        <w:t>GB/T9124.2-2019</w:t>
      </w:r>
      <w:r>
        <w:rPr>
          <w:rFonts w:hint="eastAsia" w:ascii="Times New Roman" w:hAnsi="Times New Roman"/>
          <w:color w:val="000000"/>
          <w:szCs w:val="21"/>
        </w:rPr>
        <w:t>《</w:t>
      </w:r>
      <w:r>
        <w:rPr>
          <w:rFonts w:hint="eastAsia" w:ascii="Times New Roman" w:hAnsi="Times New Roman"/>
          <w:color w:val="000000"/>
          <w:szCs w:val="21"/>
          <w:lang w:val="en-US" w:eastAsia="zh-CN"/>
        </w:rPr>
        <w:t>钢制管法兰 第2部分：Class系列</w:t>
      </w:r>
      <w:r>
        <w:rPr>
          <w:rFonts w:hint="eastAsia" w:ascii="Times New Roman" w:hAnsi="Times New Roman"/>
          <w:color w:val="000000"/>
          <w:szCs w:val="21"/>
        </w:rPr>
        <w:t>》</w:t>
      </w:r>
      <w:r>
        <w:rPr>
          <w:rFonts w:ascii="Times New Roman" w:hAnsi="Times New Roman"/>
          <w:color w:val="000000"/>
          <w:szCs w:val="21"/>
        </w:rPr>
        <w:t>,</w:t>
      </w:r>
      <w:r>
        <w:rPr>
          <w:rFonts w:hint="eastAsia" w:ascii="Times New Roman" w:hAnsi="Times New Roman"/>
          <w:color w:val="000000"/>
          <w:szCs w:val="21"/>
        </w:rPr>
        <w:t>依据大同市市场监督管理局202</w:t>
      </w:r>
      <w:r>
        <w:rPr>
          <w:rFonts w:hint="eastAsia" w:ascii="Times New Roman" w:hAnsi="Times New Roman"/>
          <w:color w:val="000000"/>
          <w:szCs w:val="21"/>
          <w:lang w:val="en-US" w:eastAsia="zh-CN"/>
        </w:rPr>
        <w:t>6</w:t>
      </w:r>
      <w:r>
        <w:rPr>
          <w:rFonts w:hint="eastAsia" w:ascii="Times New Roman" w:hAnsi="Times New Roman"/>
          <w:color w:val="000000"/>
          <w:szCs w:val="21"/>
        </w:rPr>
        <w:t>年《大同市</w:t>
      </w:r>
      <w:r>
        <w:rPr>
          <w:rFonts w:hint="eastAsia" w:ascii="Times New Roman" w:hAnsi="Times New Roman"/>
          <w:color w:val="000000"/>
          <w:szCs w:val="21"/>
          <w:lang w:val="en-US" w:eastAsia="zh-CN"/>
        </w:rPr>
        <w:t>钢制管法兰</w:t>
      </w:r>
      <w:r>
        <w:rPr>
          <w:rFonts w:hint="eastAsia" w:ascii="Times New Roman" w:hAnsi="Times New Roman"/>
          <w:color w:val="000000"/>
          <w:szCs w:val="21"/>
        </w:rPr>
        <w:t>产品质量监督抽查实施细则》，判定该被抽查产品所检项目未发现不合格。</w:t>
      </w:r>
    </w:p>
    <w:p>
      <w:pPr>
        <w:spacing w:line="500" w:lineRule="exact"/>
        <w:ind w:firstLine="420" w:firstLineChars="200"/>
        <w:rPr>
          <w:b/>
          <w:bCs/>
          <w:color w:val="000000"/>
          <w:sz w:val="28"/>
          <w:szCs w:val="28"/>
        </w:rPr>
      </w:pPr>
      <w:r>
        <w:rPr>
          <w:rFonts w:hint="eastAsia" w:ascii="Times New Roman" w:hAnsi="Times New Roman"/>
          <w:color w:val="000000"/>
          <w:szCs w:val="21"/>
        </w:rPr>
        <w:t>不合格结论用语：经抽样检验，</w:t>
      </w:r>
      <w:r>
        <w:rPr>
          <w:rFonts w:ascii="Times New Roman" w:hAnsi="Times New Roman"/>
          <w:color w:val="000000"/>
          <w:szCs w:val="21"/>
        </w:rPr>
        <w:t>XXX</w:t>
      </w:r>
      <w:r>
        <w:rPr>
          <w:rFonts w:hint="eastAsia" w:ascii="Times New Roman" w:hAnsi="Times New Roman"/>
          <w:color w:val="000000"/>
          <w:szCs w:val="21"/>
        </w:rPr>
        <w:t>项目不符合</w:t>
      </w:r>
      <w:r>
        <w:rPr>
          <w:rFonts w:ascii="宋体" w:hAnsi="宋体" w:eastAsia="宋体" w:cs="宋体"/>
          <w:sz w:val="24"/>
          <w:szCs w:val="24"/>
        </w:rPr>
        <w:t xml:space="preserve">  </w:t>
      </w:r>
      <w:r>
        <w:rPr>
          <w:rFonts w:hint="eastAsia" w:ascii="宋体" w:hAnsi="宋体" w:cs="宋体"/>
          <w:sz w:val="24"/>
          <w:szCs w:val="24"/>
          <w:lang w:val="en-US" w:eastAsia="zh-CN"/>
        </w:rPr>
        <w:t>GB/T9124.1-2019</w:t>
      </w:r>
      <w:r>
        <w:rPr>
          <w:rFonts w:hint="eastAsia" w:ascii="Times New Roman" w:hAnsi="Times New Roman"/>
          <w:color w:val="000000"/>
          <w:szCs w:val="21"/>
        </w:rPr>
        <w:t>《</w:t>
      </w:r>
      <w:r>
        <w:rPr>
          <w:rFonts w:hint="eastAsia" w:ascii="Times New Roman" w:hAnsi="Times New Roman"/>
          <w:color w:val="000000"/>
          <w:szCs w:val="21"/>
          <w:lang w:val="en-US" w:eastAsia="zh-CN"/>
        </w:rPr>
        <w:t>钢制管法兰 第1部分：PN系列</w:t>
      </w:r>
      <w:r>
        <w:rPr>
          <w:rFonts w:hint="eastAsia" w:ascii="Times New Roman" w:hAnsi="Times New Roman"/>
          <w:color w:val="000000"/>
          <w:szCs w:val="21"/>
        </w:rPr>
        <w:t>》</w:t>
      </w:r>
      <w:r>
        <w:rPr>
          <w:rFonts w:hint="eastAsia" w:ascii="Times New Roman" w:hAnsi="Times New Roman"/>
          <w:color w:val="000000"/>
          <w:szCs w:val="21"/>
          <w:lang w:eastAsia="zh-CN"/>
        </w:rPr>
        <w:t>、</w:t>
      </w:r>
      <w:r>
        <w:rPr>
          <w:rFonts w:hint="eastAsia" w:ascii="宋体" w:hAnsi="宋体" w:cs="宋体"/>
          <w:sz w:val="24"/>
          <w:szCs w:val="24"/>
          <w:lang w:val="en-US" w:eastAsia="zh-CN"/>
        </w:rPr>
        <w:t>GB/T9124.2-2019</w:t>
      </w:r>
      <w:r>
        <w:rPr>
          <w:rFonts w:hint="eastAsia" w:ascii="Times New Roman" w:hAnsi="Times New Roman"/>
          <w:color w:val="000000"/>
          <w:szCs w:val="21"/>
        </w:rPr>
        <w:t>《</w:t>
      </w:r>
      <w:r>
        <w:rPr>
          <w:rFonts w:hint="eastAsia" w:ascii="Times New Roman" w:hAnsi="Times New Roman"/>
          <w:color w:val="000000"/>
          <w:szCs w:val="21"/>
          <w:lang w:val="en-US" w:eastAsia="zh-CN"/>
        </w:rPr>
        <w:t>钢制管法兰 第2部分：Class系列</w:t>
      </w:r>
      <w:r>
        <w:rPr>
          <w:rFonts w:hint="eastAsia" w:ascii="Times New Roman" w:hAnsi="Times New Roman"/>
          <w:color w:val="000000"/>
          <w:szCs w:val="21"/>
        </w:rPr>
        <w:t>》</w:t>
      </w:r>
      <w:r>
        <w:rPr>
          <w:rFonts w:ascii="Times New Roman" w:hAnsi="Times New Roman"/>
          <w:color w:val="000000"/>
          <w:szCs w:val="21"/>
        </w:rPr>
        <w:t>,</w:t>
      </w:r>
      <w:r>
        <w:rPr>
          <w:rFonts w:hint="eastAsia" w:ascii="Times New Roman" w:hAnsi="Times New Roman"/>
          <w:color w:val="000000"/>
          <w:szCs w:val="21"/>
        </w:rPr>
        <w:t>依据大同市市场监督管理局202</w:t>
      </w:r>
      <w:r>
        <w:rPr>
          <w:rFonts w:hint="eastAsia" w:ascii="Times New Roman" w:hAnsi="Times New Roman"/>
          <w:color w:val="000000"/>
          <w:szCs w:val="21"/>
          <w:lang w:val="en-US" w:eastAsia="zh-CN"/>
        </w:rPr>
        <w:t>6</w:t>
      </w:r>
      <w:r>
        <w:rPr>
          <w:rFonts w:hint="eastAsia" w:ascii="Times New Roman" w:hAnsi="Times New Roman"/>
          <w:color w:val="000000"/>
          <w:szCs w:val="21"/>
        </w:rPr>
        <w:t>年《大同市</w:t>
      </w:r>
      <w:r>
        <w:rPr>
          <w:rFonts w:hint="eastAsia" w:ascii="Times New Roman" w:hAnsi="Times New Roman"/>
          <w:color w:val="000000"/>
          <w:szCs w:val="21"/>
          <w:lang w:val="en-US" w:eastAsia="zh-CN"/>
        </w:rPr>
        <w:t>钢制管法兰</w:t>
      </w:r>
      <w:r>
        <w:rPr>
          <w:rFonts w:hint="eastAsia" w:ascii="Times New Roman" w:hAnsi="Times New Roman"/>
          <w:color w:val="000000"/>
          <w:szCs w:val="21"/>
        </w:rPr>
        <w:t>产品质量监督抽查实施细则》，判定该被抽查产品为不合格。</w:t>
      </w: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00000" w:csb1="00000000"/>
  </w:font>
  <w:font w:name="Wingdings">
    <w:altName w:val="Standard Symbols PS"/>
    <w:panose1 w:val="05000000000000000000"/>
    <w:charset w:val="02"/>
    <w:family w:val="auto"/>
    <w:pitch w:val="default"/>
    <w:sig w:usb0="00000000" w:usb1="00000000" w:usb2="00000000" w:usb3="00000000" w:csb0="80000000" w:csb1="00000000"/>
  </w:font>
  <w:font w:name="Arial">
    <w:altName w:val="Nimbus Roman No9 L"/>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Standard Symbols PS"/>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方正小标宋简体">
    <w:panose1 w:val="02000000000000000000"/>
    <w:charset w:val="86"/>
    <w:family w:val="auto"/>
    <w:pitch w:val="default"/>
    <w:sig w:usb0="A00002BF" w:usb1="184F6CFA" w:usb2="00000012" w:usb3="00000000" w:csb0="00040001" w:csb1="00000000"/>
  </w:font>
  <w:font w:name="方正仿宋简体">
    <w:altName w:val="方正仿宋_GBK"/>
    <w:panose1 w:val="00000000000000000000"/>
    <w:charset w:val="86"/>
    <w:family w:val="auto"/>
    <w:pitch w:val="default"/>
    <w:sig w:usb0="00000000" w:usb1="00000000" w:usb2="00000010" w:usb3="00000000" w:csb0="00040000" w:csb1="00000000"/>
  </w:font>
  <w:font w:name="方正书宋_GBK">
    <w:panose1 w:val="02000000000000000000"/>
    <w:charset w:val="86"/>
    <w:family w:val="auto"/>
    <w:pitch w:val="default"/>
    <w:sig w:usb0="00000001" w:usb1="08000000" w:usb2="00000000" w:usb3="00000000" w:csb0="00040000" w:csb1="00000000"/>
  </w:font>
  <w:font w:name="Nimbus Roman No9 L">
    <w:panose1 w:val="00000000000000000000"/>
    <w:charset w:val="00"/>
    <w:family w:val="auto"/>
    <w:pitch w:val="default"/>
    <w:sig w:usb0="00000000" w:usb1="00000000" w:usb2="00000000" w:usb3="00000000" w:csb0="00000000" w:csb1="00000000"/>
  </w:font>
  <w:font w:name="方正黑体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Standard Symbols PS">
    <w:panose1 w:val="05050102010706020507"/>
    <w:charset w:val="00"/>
    <w:family w:val="auto"/>
    <w:pitch w:val="default"/>
    <w:sig w:usb0="00000003" w:usb1="00000000" w:usb2="00000000" w:usb3="00000000" w:csb0="00000001" w:csb1="00000000"/>
  </w:font>
  <w:font w:name="方正仿宋_GBK">
    <w:panose1 w:val="02000000000000000000"/>
    <w:charset w:val="86"/>
    <w:family w:val="auto"/>
    <w:pitch w:val="default"/>
    <w:sig w:usb0="00000001" w:usb1="0800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false"/>
  <w:bordersDoNotSurroundFooter w:val="false"/>
  <w:doNotTrackMoves/>
  <w:documentProtection w:enforcement="0"/>
  <w:defaultTabStop w:val="420"/>
  <w:drawingGridVerticalSpacing w:val="156"/>
  <w:displayHorizontalDrawingGridEvery w:val="1"/>
  <w:displayVerticalDrawingGridEvery w:val="1"/>
  <w:noPunctuationKerning w:val="true"/>
  <w:characterSpacingControl w:val="compressPunctuation"/>
  <w:noLineBreaksAfter w:lang="zh-CN" w:val="$([{£¥·‘“〈《「『【〔〖〝﹙﹛﹝＄（．［｛￡￥"/>
  <w:noLineBreaksBefore w:lang="zh-CN" w:val="!%),.:;&gt;?]}¢¨°·ˇˉ―‖’”…‰′″›℃∶、。〃〉》」』】〕〗〞︶︺︾﹀﹄﹚﹜﹞！＂％＇），．：；？］｀｜｝～￠"/>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ZTdhNDdjNGJiYzE3YTRjOTY1MjVkNTQ2NDRhZTA1ZmMifQ=="/>
  </w:docVars>
  <w:rsids>
    <w:rsidRoot w:val="31494BC8"/>
    <w:rsid w:val="000812C4"/>
    <w:rsid w:val="000A048D"/>
    <w:rsid w:val="001525E6"/>
    <w:rsid w:val="00203E3F"/>
    <w:rsid w:val="002D1DCA"/>
    <w:rsid w:val="00341F12"/>
    <w:rsid w:val="004C4599"/>
    <w:rsid w:val="004E3746"/>
    <w:rsid w:val="005A4AB3"/>
    <w:rsid w:val="005F72B2"/>
    <w:rsid w:val="00623638"/>
    <w:rsid w:val="007D70F5"/>
    <w:rsid w:val="008505D9"/>
    <w:rsid w:val="00892862"/>
    <w:rsid w:val="008B37B8"/>
    <w:rsid w:val="0099487D"/>
    <w:rsid w:val="009F6B2A"/>
    <w:rsid w:val="00B03610"/>
    <w:rsid w:val="00BA513C"/>
    <w:rsid w:val="00CD165B"/>
    <w:rsid w:val="00D7347C"/>
    <w:rsid w:val="00E07980"/>
    <w:rsid w:val="00E709B3"/>
    <w:rsid w:val="00E95779"/>
    <w:rsid w:val="00ED3703"/>
    <w:rsid w:val="00FE01A5"/>
    <w:rsid w:val="08517143"/>
    <w:rsid w:val="08760663"/>
    <w:rsid w:val="08FF2EEF"/>
    <w:rsid w:val="0A38456E"/>
    <w:rsid w:val="0B9335CE"/>
    <w:rsid w:val="0CB702BC"/>
    <w:rsid w:val="0CCC29CE"/>
    <w:rsid w:val="0CFB0936"/>
    <w:rsid w:val="0F4405B7"/>
    <w:rsid w:val="0FC43734"/>
    <w:rsid w:val="18267CA4"/>
    <w:rsid w:val="1BAE7B52"/>
    <w:rsid w:val="1C024049"/>
    <w:rsid w:val="1FD374AB"/>
    <w:rsid w:val="1FE92F31"/>
    <w:rsid w:val="22B42350"/>
    <w:rsid w:val="22FC7B04"/>
    <w:rsid w:val="26AA50BD"/>
    <w:rsid w:val="29600B3C"/>
    <w:rsid w:val="29EA7B6E"/>
    <w:rsid w:val="2A801268"/>
    <w:rsid w:val="31494BC8"/>
    <w:rsid w:val="342B6470"/>
    <w:rsid w:val="3A3951BD"/>
    <w:rsid w:val="3C5845E2"/>
    <w:rsid w:val="3CE05DC4"/>
    <w:rsid w:val="3F6A2BFC"/>
    <w:rsid w:val="421E1D44"/>
    <w:rsid w:val="42E22547"/>
    <w:rsid w:val="4C9E71F2"/>
    <w:rsid w:val="4D0172AE"/>
    <w:rsid w:val="4D677E3B"/>
    <w:rsid w:val="4F0D28B8"/>
    <w:rsid w:val="4F89778F"/>
    <w:rsid w:val="537BA9C2"/>
    <w:rsid w:val="5749005D"/>
    <w:rsid w:val="57B974E6"/>
    <w:rsid w:val="57E06219"/>
    <w:rsid w:val="57F33A03"/>
    <w:rsid w:val="5D821145"/>
    <w:rsid w:val="60634492"/>
    <w:rsid w:val="64B03820"/>
    <w:rsid w:val="668E5A2F"/>
    <w:rsid w:val="67584625"/>
    <w:rsid w:val="67C1159B"/>
    <w:rsid w:val="6A1F767C"/>
    <w:rsid w:val="6A3912D6"/>
    <w:rsid w:val="6A55309E"/>
    <w:rsid w:val="6CE1000B"/>
    <w:rsid w:val="70273742"/>
    <w:rsid w:val="72433A20"/>
    <w:rsid w:val="7695376A"/>
    <w:rsid w:val="77731007"/>
    <w:rsid w:val="78AD66AF"/>
    <w:rsid w:val="7A995229"/>
    <w:rsid w:val="7DD966A8"/>
    <w:rsid w:val="7EE36A72"/>
    <w:rsid w:val="7FC5577D"/>
    <w:rsid w:val="7FFF1F40"/>
    <w:rsid w:val="FEB8BC48"/>
  </w:rsids>
  <m:mathPr>
    <m:mathFont m:val="Cambria Math"/>
    <m:brkBin m:val="before"/>
    <m:brkBinSub m:val="--"/>
    <m:smallFrac m:val="1"/>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qFormat="1"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ocked="1"/>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9"/>
    <w:semiHidden/>
    <w:unhideWhenUsed/>
    <w:qFormat/>
    <w:uiPriority w:val="99"/>
    <w:pPr>
      <w:tabs>
        <w:tab w:val="center" w:pos="4153"/>
        <w:tab w:val="right" w:pos="8306"/>
      </w:tabs>
      <w:snapToGrid w:val="0"/>
      <w:jc w:val="left"/>
    </w:pPr>
    <w:rPr>
      <w:sz w:val="18"/>
      <w:szCs w:val="18"/>
    </w:rPr>
  </w:style>
  <w:style w:type="paragraph" w:styleId="3">
    <w:name w:val="header"/>
    <w:basedOn w:val="1"/>
    <w:link w:val="8"/>
    <w:semiHidden/>
    <w:unhideWhenUsed/>
    <w:qFormat/>
    <w:uiPriority w:val="99"/>
    <w:pPr>
      <w:pBdr>
        <w:bottom w:val="single" w:color="auto" w:sz="6" w:space="1"/>
      </w:pBdr>
      <w:tabs>
        <w:tab w:val="center" w:pos="4153"/>
        <w:tab w:val="right" w:pos="8306"/>
      </w:tabs>
      <w:snapToGrid w:val="0"/>
      <w:jc w:val="center"/>
    </w:pPr>
    <w:rPr>
      <w:sz w:val="18"/>
      <w:szCs w:val="18"/>
    </w:rPr>
  </w:style>
  <w:style w:type="character" w:styleId="6">
    <w:name w:val="FollowedHyperlink"/>
    <w:basedOn w:val="5"/>
    <w:semiHidden/>
    <w:unhideWhenUsed/>
    <w:qFormat/>
    <w:uiPriority w:val="99"/>
    <w:rPr>
      <w:color w:val="000000"/>
      <w:sz w:val="21"/>
      <w:szCs w:val="21"/>
      <w:u w:val="none"/>
    </w:rPr>
  </w:style>
  <w:style w:type="character" w:styleId="7">
    <w:name w:val="Hyperlink"/>
    <w:basedOn w:val="5"/>
    <w:semiHidden/>
    <w:unhideWhenUsed/>
    <w:qFormat/>
    <w:uiPriority w:val="99"/>
    <w:rPr>
      <w:color w:val="000000"/>
      <w:sz w:val="21"/>
      <w:szCs w:val="21"/>
      <w:u w:val="none"/>
    </w:rPr>
  </w:style>
  <w:style w:type="character" w:customStyle="1" w:styleId="8">
    <w:name w:val="页眉 Char"/>
    <w:basedOn w:val="5"/>
    <w:link w:val="3"/>
    <w:semiHidden/>
    <w:qFormat/>
    <w:uiPriority w:val="99"/>
    <w:rPr>
      <w:rFonts w:ascii="Calibri" w:hAnsi="Calibri"/>
      <w:kern w:val="2"/>
      <w:sz w:val="18"/>
      <w:szCs w:val="18"/>
    </w:rPr>
  </w:style>
  <w:style w:type="character" w:customStyle="1" w:styleId="9">
    <w:name w:val="页脚 Char"/>
    <w:basedOn w:val="5"/>
    <w:link w:val="2"/>
    <w:semiHidden/>
    <w:qFormat/>
    <w:uiPriority w:val="99"/>
    <w:rPr>
      <w:rFonts w:ascii="Calibri" w:hAnsi="Calibri"/>
      <w:kern w:val="2"/>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2</Pages>
  <Words>903</Words>
  <Characters>1049</Characters>
  <Lines>12</Lines>
  <Paragraphs>3</Paragraphs>
  <TotalTime>1</TotalTime>
  <ScaleCrop>false</ScaleCrop>
  <LinksUpToDate>false</LinksUpToDate>
  <CharactersWithSpaces>1067</CharactersWithSpaces>
  <Application>WPS Office_11.8.2.10290_F1E327BC-269C-435d-A152-05C5408002CA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2021-06-23T02:04:00Z</dcterms:created>
  <dc:creator>行走人间</dc:creator>
  <cp:lastModifiedBy>greatwall</cp:lastModifiedBy>
  <cp:lastPrinted>2026-05-25T17:39:33Z</cp:lastPrinted>
  <dcterms:modified xsi:type="dcterms:W3CDTF">2026-05-25T17:39:37Z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2052-11.8.2.10290</vt:lpwstr>
  </property>
  <property fmtid="{D5CDD505-2E9C-101B-9397-08002B2CF9AE}" pid="3" name="ICV">
    <vt:lpwstr>8AD743CBB4CA4396AB22A3B0529218E2</vt:lpwstr>
  </property>
  <property fmtid="{D5CDD505-2E9C-101B-9397-08002B2CF9AE}" pid="4" name="KSOTemplateDocerSaveRecord">
    <vt:lpwstr>eyJoZGlkIjoiZDYzMmFkOGI1MGEyOWQxMWQzMDU3ZTlkODI2ZTQ0ZjkiLCJ1c2VySWQiOiIyOTA2MzUyNzYifQ==</vt:lpwstr>
  </property>
</Properties>
</file>