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color w:val="000000"/>
          <w:sz w:val="32"/>
          <w:szCs w:val="32"/>
        </w:rPr>
      </w:pPr>
      <w:r>
        <w:rPr>
          <w:rFonts w:hint="eastAsia" w:ascii="黑体" w:hAnsi="黑体" w:eastAsia="黑体" w:cs="黑体"/>
          <w:color w:val="000000"/>
          <w:sz w:val="32"/>
          <w:szCs w:val="32"/>
        </w:rPr>
        <w:t>大同市产品质量监督抽查实施细则</w:t>
      </w:r>
    </w:p>
    <w:p>
      <w:pPr>
        <w:jc w:val="center"/>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菱形金属网</w:t>
      </w:r>
    </w:p>
    <w:p>
      <w:pPr>
        <w:spacing w:line="600" w:lineRule="exact"/>
        <w:ind w:firstLine="420" w:firstLineChars="200"/>
        <w:rPr>
          <w:rFonts w:ascii="宋体" w:hAnsi="宋体" w:cs="宋体"/>
          <w:szCs w:val="21"/>
        </w:rPr>
      </w:pPr>
    </w:p>
    <w:p>
      <w:pPr>
        <w:spacing w:line="500" w:lineRule="exact"/>
        <w:rPr>
          <w:rFonts w:hint="eastAsia" w:ascii="黑体" w:hAnsi="黑体" w:eastAsia="黑体" w:cs="黑体"/>
          <w:b/>
          <w:bCs/>
          <w:color w:val="000000"/>
          <w:sz w:val="21"/>
          <w:szCs w:val="21"/>
        </w:rPr>
      </w:pPr>
      <w:r>
        <w:rPr>
          <w:rFonts w:hint="eastAsia" w:ascii="黑体" w:hAnsi="黑体" w:eastAsia="黑体" w:cs="黑体"/>
          <w:b/>
          <w:bCs/>
          <w:color w:val="000000"/>
          <w:sz w:val="21"/>
          <w:szCs w:val="21"/>
        </w:rPr>
        <w:t>1 抽样方法</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以随机抽样的方式在被抽样生产者、销售者的待销产品中抽取。</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 xml:space="preserve"> 随机数一般可使用随机数表等方法产生。</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每批次产品同规格抽取</w:t>
      </w:r>
      <w:r>
        <w:rPr>
          <w:rFonts w:hint="eastAsia" w:ascii="宋体" w:hAnsi="宋体" w:cs="宋体"/>
          <w:sz w:val="21"/>
          <w:szCs w:val="21"/>
          <w:lang w:val="en-US" w:eastAsia="zh-CN"/>
        </w:rPr>
        <w:t>3</w:t>
      </w:r>
      <w:r>
        <w:rPr>
          <w:rFonts w:hint="eastAsia" w:ascii="宋体" w:hAnsi="宋体" w:cs="宋体"/>
          <w:sz w:val="21"/>
          <w:szCs w:val="21"/>
        </w:rPr>
        <w:t>卷，1卷检验样品，</w:t>
      </w:r>
      <w:r>
        <w:rPr>
          <w:rFonts w:hint="eastAsia" w:ascii="宋体" w:hAnsi="宋体" w:cs="宋体"/>
          <w:sz w:val="21"/>
          <w:szCs w:val="21"/>
          <w:lang w:val="en-US" w:eastAsia="zh-CN"/>
        </w:rPr>
        <w:t>2</w:t>
      </w:r>
      <w:r>
        <w:rPr>
          <w:rFonts w:hint="eastAsia" w:ascii="宋体" w:hAnsi="宋体" w:cs="宋体"/>
          <w:sz w:val="21"/>
          <w:szCs w:val="21"/>
        </w:rPr>
        <w:t xml:space="preserve">卷备用样品（检备样各含所用原丝1m）。 </w:t>
      </w:r>
    </w:p>
    <w:p>
      <w:pPr>
        <w:spacing w:line="500" w:lineRule="exact"/>
        <w:rPr>
          <w:rFonts w:ascii="黑体" w:hAnsi="黑体" w:eastAsia="黑体" w:cs="黑体"/>
          <w:b/>
          <w:bCs/>
          <w:color w:val="000000"/>
          <w:sz w:val="21"/>
          <w:szCs w:val="21"/>
        </w:rPr>
      </w:pPr>
      <w:r>
        <w:rPr>
          <w:rFonts w:hint="eastAsia" w:ascii="黑体" w:hAnsi="黑体" w:eastAsia="黑体" w:cs="黑体"/>
          <w:b/>
          <w:bCs/>
          <w:color w:val="000000"/>
          <w:sz w:val="21"/>
          <w:szCs w:val="21"/>
        </w:rPr>
        <w:t>2 检验依据</w:t>
      </w:r>
    </w:p>
    <w:p>
      <w:pPr>
        <w:adjustRightInd w:val="0"/>
        <w:snapToGrid w:val="0"/>
        <w:spacing w:line="500" w:lineRule="exact"/>
        <w:ind w:firstLine="42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rPr>
        <w:t>表</w:t>
      </w:r>
      <w:r>
        <w:rPr>
          <w:rFonts w:ascii="Times New Roman" w:hAnsi="Times New Roman"/>
          <w:color w:val="000000"/>
          <w:sz w:val="21"/>
          <w:szCs w:val="21"/>
        </w:rPr>
        <w:t xml:space="preserve">1  </w:t>
      </w:r>
      <w:r>
        <w:rPr>
          <w:rFonts w:hint="eastAsia" w:ascii="Times New Roman" w:hAnsi="Times New Roman"/>
          <w:color w:val="000000"/>
          <w:sz w:val="21"/>
          <w:szCs w:val="21"/>
          <w:lang w:val="en-US" w:eastAsia="zh-CN"/>
        </w:rPr>
        <w:t>菱形金属网</w:t>
      </w:r>
    </w:p>
    <w:tbl>
      <w:tblPr>
        <w:tblStyle w:val="4"/>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964"/>
        <w:gridCol w:w="5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 w:val="21"/>
                <w:szCs w:val="21"/>
              </w:rPr>
            </w:pPr>
            <w:r>
              <w:rPr>
                <w:rFonts w:hint="eastAsia" w:ascii="Times New Roman" w:hAnsi="Times New Roman"/>
                <w:color w:val="000000"/>
                <w:sz w:val="21"/>
                <w:szCs w:val="21"/>
              </w:rPr>
              <w:t>序号</w:t>
            </w:r>
          </w:p>
        </w:tc>
        <w:tc>
          <w:tcPr>
            <w:tcW w:w="1210" w:type="pct"/>
            <w:vAlign w:val="center"/>
          </w:tcPr>
          <w:p>
            <w:pPr>
              <w:adjustRightInd w:val="0"/>
              <w:snapToGrid w:val="0"/>
              <w:spacing w:line="500" w:lineRule="exact"/>
              <w:jc w:val="center"/>
              <w:rPr>
                <w:rFonts w:ascii="Times New Roman" w:hAnsi="Times New Roman"/>
                <w:color w:val="000000"/>
                <w:sz w:val="21"/>
                <w:szCs w:val="21"/>
              </w:rPr>
            </w:pPr>
            <w:r>
              <w:rPr>
                <w:rFonts w:hint="eastAsia" w:ascii="Times New Roman" w:hAnsi="Times New Roman"/>
                <w:color w:val="000000"/>
                <w:sz w:val="21"/>
                <w:szCs w:val="21"/>
              </w:rPr>
              <w:t>检验项目</w:t>
            </w:r>
          </w:p>
        </w:tc>
        <w:tc>
          <w:tcPr>
            <w:tcW w:w="3225" w:type="pct"/>
            <w:vAlign w:val="center"/>
          </w:tcPr>
          <w:p>
            <w:pPr>
              <w:adjustRightInd w:val="0"/>
              <w:snapToGrid w:val="0"/>
              <w:spacing w:line="500" w:lineRule="exact"/>
              <w:jc w:val="center"/>
              <w:rPr>
                <w:rFonts w:ascii="Times New Roman" w:hAnsi="Times New Roman"/>
                <w:color w:val="000000"/>
                <w:sz w:val="21"/>
                <w:szCs w:val="21"/>
              </w:rPr>
            </w:pPr>
            <w:r>
              <w:rPr>
                <w:rFonts w:hint="eastAsia" w:ascii="Times New Roman" w:hAnsi="Times New Roman"/>
                <w:color w:val="000000"/>
                <w:sz w:val="21"/>
                <w:szCs w:val="21"/>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 w:val="21"/>
                <w:szCs w:val="21"/>
              </w:rPr>
            </w:pPr>
            <w:r>
              <w:rPr>
                <w:rFonts w:hint="eastAsia" w:ascii="Times New Roman" w:hAnsi="Times New Roman"/>
                <w:color w:val="000000"/>
                <w:sz w:val="21"/>
                <w:szCs w:val="21"/>
              </w:rPr>
              <w:t>1</w:t>
            </w:r>
          </w:p>
        </w:tc>
        <w:tc>
          <w:tcPr>
            <w:tcW w:w="1210" w:type="pct"/>
            <w:vAlign w:val="center"/>
          </w:tcPr>
          <w:p>
            <w:pPr>
              <w:adjustRightInd w:val="0"/>
              <w:snapToGrid w:val="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尺寸</w:t>
            </w:r>
          </w:p>
        </w:tc>
        <w:tc>
          <w:tcPr>
            <w:tcW w:w="3225" w:type="pct"/>
            <w:vAlign w:val="center"/>
          </w:tcPr>
          <w:p>
            <w:pPr>
              <w:jc w:val="center"/>
              <w:rPr>
                <w:rFonts w:ascii="Times New Roman" w:hAnsi="Times New Roman"/>
                <w:color w:val="000000"/>
                <w:sz w:val="21"/>
                <w:szCs w:val="21"/>
              </w:rPr>
            </w:pPr>
            <w:r>
              <w:rPr>
                <w:rFonts w:hint="eastAsia" w:ascii="Times New Roman" w:hAnsi="Times New Roman"/>
                <w:color w:val="000000"/>
                <w:sz w:val="21"/>
                <w:szCs w:val="21"/>
                <w:lang w:val="en-US" w:eastAsia="zh-CN"/>
              </w:rPr>
              <w:t>MT314-92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 w:val="21"/>
                <w:szCs w:val="21"/>
              </w:rPr>
            </w:pPr>
            <w:r>
              <w:rPr>
                <w:rFonts w:hint="eastAsia" w:ascii="Times New Roman" w:hAnsi="Times New Roman"/>
                <w:color w:val="000000"/>
                <w:sz w:val="21"/>
                <w:szCs w:val="21"/>
              </w:rPr>
              <w:t>2</w:t>
            </w:r>
          </w:p>
        </w:tc>
        <w:tc>
          <w:tcPr>
            <w:tcW w:w="1210" w:type="pct"/>
            <w:vAlign w:val="center"/>
          </w:tcPr>
          <w:p>
            <w:pPr>
              <w:adjustRightInd w:val="0"/>
              <w:snapToGrid w:val="0"/>
              <w:jc w:val="center"/>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外观质量</w:t>
            </w:r>
          </w:p>
        </w:tc>
        <w:tc>
          <w:tcPr>
            <w:tcW w:w="3225" w:type="pct"/>
            <w:vAlign w:val="center"/>
          </w:tcPr>
          <w:p>
            <w:pPr>
              <w:jc w:val="center"/>
              <w:rPr>
                <w:rFonts w:ascii="Times New Roman" w:hAnsi="Times New Roman"/>
                <w:color w:val="000000"/>
                <w:sz w:val="21"/>
                <w:szCs w:val="21"/>
              </w:rPr>
            </w:pPr>
            <w:r>
              <w:rPr>
                <w:rFonts w:hint="eastAsia" w:ascii="Times New Roman" w:hAnsi="Times New Roman"/>
                <w:color w:val="000000"/>
                <w:sz w:val="21"/>
                <w:szCs w:val="21"/>
                <w:lang w:val="en-US" w:eastAsia="zh-CN"/>
              </w:rPr>
              <w:t>MT314-92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64" w:type="pct"/>
            <w:vAlign w:val="center"/>
          </w:tcPr>
          <w:p>
            <w:pPr>
              <w:adjustRightInd w:val="0"/>
              <w:snapToGrid w:val="0"/>
              <w:spacing w:line="500" w:lineRule="exact"/>
              <w:jc w:val="center"/>
              <w:rPr>
                <w:rFonts w:ascii="Times New Roman" w:hAnsi="Times New Roman"/>
                <w:color w:val="000000"/>
                <w:sz w:val="21"/>
                <w:szCs w:val="21"/>
              </w:rPr>
            </w:pPr>
            <w:r>
              <w:rPr>
                <w:rFonts w:hint="eastAsia" w:ascii="Times New Roman" w:hAnsi="Times New Roman"/>
                <w:color w:val="000000"/>
                <w:sz w:val="21"/>
                <w:szCs w:val="21"/>
              </w:rPr>
              <w:t>3</w:t>
            </w:r>
          </w:p>
        </w:tc>
        <w:tc>
          <w:tcPr>
            <w:tcW w:w="1210" w:type="pct"/>
            <w:vAlign w:val="center"/>
          </w:tcPr>
          <w:p>
            <w:pPr>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钢丝强度降低率</w:t>
            </w:r>
          </w:p>
        </w:tc>
        <w:tc>
          <w:tcPr>
            <w:tcW w:w="3225" w:type="pct"/>
            <w:vAlign w:val="center"/>
          </w:tcPr>
          <w:p>
            <w:pPr>
              <w:jc w:val="center"/>
              <w:rPr>
                <w:rFonts w:ascii="Times New Roman" w:hAnsi="Times New Roman"/>
                <w:color w:val="000000"/>
                <w:sz w:val="21"/>
                <w:szCs w:val="21"/>
              </w:rPr>
            </w:pPr>
            <w:r>
              <w:rPr>
                <w:rFonts w:hint="eastAsia" w:ascii="Times New Roman" w:hAnsi="Times New Roman"/>
                <w:color w:val="000000"/>
                <w:sz w:val="21"/>
                <w:szCs w:val="21"/>
                <w:lang w:val="en-US" w:eastAsia="zh-CN"/>
              </w:rPr>
              <w:t>MT314-92</w:t>
            </w:r>
          </w:p>
        </w:tc>
      </w:tr>
    </w:tbl>
    <w:p>
      <w:pPr>
        <w:spacing w:line="500" w:lineRule="exact"/>
        <w:ind w:firstLine="420" w:firstLineChars="200"/>
        <w:rPr>
          <w:rFonts w:hint="eastAsia" w:ascii="宋体" w:hAnsi="宋体" w:cs="宋体"/>
          <w:sz w:val="21"/>
          <w:szCs w:val="21"/>
        </w:rPr>
      </w:pPr>
      <w:r>
        <w:rPr>
          <w:rFonts w:hint="eastAsia" w:ascii="宋体" w:hAnsi="宋体" w:cs="宋体"/>
          <w:sz w:val="21"/>
          <w:szCs w:val="21"/>
        </w:rPr>
        <w:t>执行企业标准、团体标准、地方标准的产品，检验项目参照上述内容执行。</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凡是注日期的文件，其随后所有的修改单（不包括勘误的内容）或修订版不适用于本细则。凡是不注日期的文件，其最新版本适用于本细则。</w:t>
      </w:r>
    </w:p>
    <w:p>
      <w:pPr>
        <w:spacing w:line="500" w:lineRule="exact"/>
        <w:rPr>
          <w:rFonts w:ascii="黑体" w:hAnsi="黑体" w:eastAsia="黑体" w:cs="黑体"/>
          <w:b/>
          <w:bCs/>
          <w:color w:val="000000"/>
          <w:sz w:val="21"/>
          <w:szCs w:val="21"/>
        </w:rPr>
      </w:pPr>
      <w:r>
        <w:rPr>
          <w:rFonts w:hint="eastAsia" w:ascii="黑体" w:hAnsi="黑体" w:eastAsia="黑体" w:cs="黑体"/>
          <w:b/>
          <w:bCs/>
          <w:color w:val="000000"/>
          <w:sz w:val="21"/>
          <w:szCs w:val="21"/>
        </w:rPr>
        <w:t>3判定原则及判定结论用语</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3.1依据标准</w:t>
      </w:r>
    </w:p>
    <w:p>
      <w:pPr>
        <w:spacing w:line="500" w:lineRule="exact"/>
        <w:ind w:firstLine="420" w:firstLineChars="200"/>
        <w:rPr>
          <w:rFonts w:hint="eastAsia" w:ascii="宋体" w:hAnsi="宋体" w:cs="宋体"/>
          <w:sz w:val="21"/>
          <w:szCs w:val="21"/>
        </w:rPr>
      </w:pPr>
      <w:r>
        <w:rPr>
          <w:rFonts w:hint="eastAsia" w:ascii="宋体" w:hAnsi="宋体" w:cs="宋体"/>
          <w:sz w:val="21"/>
          <w:szCs w:val="21"/>
          <w:lang w:val="en-US" w:eastAsia="zh-CN"/>
        </w:rPr>
        <w:t>MT314-1992</w:t>
      </w:r>
      <w:r>
        <w:rPr>
          <w:rFonts w:hint="eastAsia" w:ascii="宋体" w:hAnsi="宋体" w:cs="宋体"/>
          <w:sz w:val="21"/>
          <w:szCs w:val="21"/>
        </w:rPr>
        <w:t>《</w:t>
      </w:r>
      <w:r>
        <w:rPr>
          <w:rFonts w:hint="eastAsia" w:ascii="宋体" w:hAnsi="宋体" w:cs="宋体"/>
          <w:sz w:val="21"/>
          <w:szCs w:val="21"/>
          <w:lang w:val="en-US" w:eastAsia="zh-CN"/>
        </w:rPr>
        <w:t>煤矿假顶用菱形金属网</w:t>
      </w:r>
      <w:r>
        <w:rPr>
          <w:rFonts w:hint="eastAsia" w:ascii="宋体" w:hAnsi="宋体" w:cs="宋体"/>
          <w:sz w:val="21"/>
          <w:szCs w:val="21"/>
        </w:rPr>
        <w:t>》</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现行有效的企业标准、团体标准、地方标准及产品明示质量要求</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3.2判定原则</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经检验，检验项目全部合格，判定为被抽查产品所检项目未发现不合格；检验项目中任一项或一项以上不合格，判定为被抽查产品不合格。</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若被检产品明示的质量要求高于本细则中检验项目依据的标准要求时，应按被检产品明示的质量要求判定。</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若被检产品明示的质量要求低于本细则中检验项目依据的强制性标准要求时，应按照强制性标准要求判定。</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若被检产品明示的质量要求</w:t>
      </w:r>
      <w:r>
        <w:rPr>
          <w:rFonts w:hint="eastAsia" w:ascii="宋体" w:hAnsi="宋体" w:cs="宋体"/>
          <w:color w:val="auto"/>
          <w:sz w:val="21"/>
          <w:szCs w:val="21"/>
        </w:rPr>
        <w:t>低于</w:t>
      </w:r>
      <w:r>
        <w:rPr>
          <w:rFonts w:hint="eastAsia" w:ascii="宋体" w:hAnsi="宋体" w:cs="宋体"/>
          <w:sz w:val="21"/>
          <w:szCs w:val="21"/>
        </w:rPr>
        <w:t>或包含本细则中检验项目依据的推荐性标准要求时，应以被检产品明示的质量要求判定。</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若被检产品明示的质量要求缺少本细则中检验项目依据的强制性标准要求时，应按照强制性标准要求判定。</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若被检产品明示的质量要求缺少本细则中检验项目依据的推荐性标准要求时，该项目不参与判定。</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3.3 判定结论用语：</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合格结论用语：经抽样检验，所检项目符合</w:t>
      </w:r>
      <w:r>
        <w:rPr>
          <w:rFonts w:hint="eastAsia" w:ascii="宋体" w:hAnsi="宋体" w:cs="宋体"/>
          <w:sz w:val="21"/>
          <w:szCs w:val="21"/>
          <w:lang w:val="en-US" w:eastAsia="zh-CN"/>
        </w:rPr>
        <w:t>MT314-92</w:t>
      </w:r>
      <w:r>
        <w:rPr>
          <w:rFonts w:hint="eastAsia" w:ascii="宋体" w:hAnsi="宋体" w:cs="宋体"/>
          <w:sz w:val="21"/>
          <w:szCs w:val="21"/>
        </w:rPr>
        <w:t>《</w:t>
      </w:r>
      <w:r>
        <w:rPr>
          <w:rFonts w:hint="eastAsia" w:ascii="宋体" w:hAnsi="宋体" w:cs="宋体"/>
          <w:sz w:val="21"/>
          <w:szCs w:val="21"/>
          <w:lang w:val="en-US" w:eastAsia="zh-CN"/>
        </w:rPr>
        <w:t>煤矿假顶用菱形金属网</w:t>
      </w:r>
      <w:r>
        <w:rPr>
          <w:rFonts w:hint="eastAsia" w:ascii="宋体" w:hAnsi="宋体" w:cs="宋体"/>
          <w:sz w:val="21"/>
          <w:szCs w:val="21"/>
        </w:rPr>
        <w:t>》,依据大同市市场监督管理局202</w:t>
      </w:r>
      <w:r>
        <w:rPr>
          <w:rFonts w:hint="eastAsia" w:ascii="宋体" w:hAnsi="宋体" w:cs="宋体"/>
          <w:sz w:val="21"/>
          <w:szCs w:val="21"/>
          <w:lang w:val="en-US" w:eastAsia="zh-CN"/>
        </w:rPr>
        <w:t>6</w:t>
      </w:r>
      <w:r>
        <w:rPr>
          <w:rFonts w:hint="eastAsia" w:ascii="宋体" w:hAnsi="宋体" w:cs="宋体"/>
          <w:sz w:val="21"/>
          <w:szCs w:val="21"/>
        </w:rPr>
        <w:t>年</w:t>
      </w:r>
      <w:bookmarkStart w:id="0" w:name="_GoBack"/>
      <w:bookmarkEnd w:id="0"/>
      <w:r>
        <w:rPr>
          <w:rFonts w:hint="eastAsia" w:ascii="宋体" w:hAnsi="宋体" w:cs="宋体"/>
          <w:sz w:val="21"/>
          <w:szCs w:val="21"/>
        </w:rPr>
        <w:t>《大同市</w:t>
      </w:r>
      <w:r>
        <w:rPr>
          <w:rFonts w:hint="eastAsia" w:ascii="宋体" w:hAnsi="宋体" w:cs="宋体"/>
          <w:sz w:val="21"/>
          <w:szCs w:val="21"/>
          <w:lang w:val="en-US" w:eastAsia="zh-CN"/>
        </w:rPr>
        <w:t>菱形金属网</w:t>
      </w:r>
      <w:r>
        <w:rPr>
          <w:rFonts w:hint="eastAsia" w:ascii="宋体" w:hAnsi="宋体" w:cs="宋体"/>
          <w:sz w:val="21"/>
          <w:szCs w:val="21"/>
        </w:rPr>
        <w:t>产品质量监督抽查实施细则》，判定该被抽查产品所检项目未发现不合格。</w:t>
      </w:r>
    </w:p>
    <w:p>
      <w:pPr>
        <w:spacing w:line="500" w:lineRule="exact"/>
        <w:ind w:firstLine="420" w:firstLineChars="200"/>
        <w:rPr>
          <w:rFonts w:hint="eastAsia" w:ascii="宋体" w:hAnsi="宋体" w:cs="宋体"/>
          <w:sz w:val="21"/>
          <w:szCs w:val="21"/>
        </w:rPr>
      </w:pPr>
      <w:r>
        <w:rPr>
          <w:rFonts w:hint="eastAsia" w:ascii="宋体" w:hAnsi="宋体" w:cs="宋体"/>
          <w:sz w:val="21"/>
          <w:szCs w:val="21"/>
        </w:rPr>
        <w:t>不合格结论用语：经抽样检验，XXX项目不符合</w:t>
      </w:r>
      <w:r>
        <w:rPr>
          <w:rFonts w:hint="eastAsia" w:ascii="宋体" w:hAnsi="宋体" w:cs="宋体"/>
          <w:sz w:val="21"/>
          <w:szCs w:val="21"/>
          <w:lang w:val="en-US" w:eastAsia="zh-CN"/>
        </w:rPr>
        <w:t>MT314-92</w:t>
      </w:r>
      <w:r>
        <w:rPr>
          <w:rFonts w:hint="eastAsia" w:ascii="宋体" w:hAnsi="宋体" w:cs="宋体"/>
          <w:sz w:val="21"/>
          <w:szCs w:val="21"/>
        </w:rPr>
        <w:t>《</w:t>
      </w:r>
      <w:r>
        <w:rPr>
          <w:rFonts w:hint="eastAsia" w:ascii="宋体" w:hAnsi="宋体" w:cs="宋体"/>
          <w:sz w:val="21"/>
          <w:szCs w:val="21"/>
          <w:lang w:val="en-US" w:eastAsia="zh-CN"/>
        </w:rPr>
        <w:t>煤矿假顶用菱形金属网</w:t>
      </w:r>
      <w:r>
        <w:rPr>
          <w:rFonts w:hint="eastAsia" w:ascii="宋体" w:hAnsi="宋体" w:cs="宋体"/>
          <w:sz w:val="21"/>
          <w:szCs w:val="21"/>
        </w:rPr>
        <w:t>》,依据大同市市场监督管理局202</w:t>
      </w:r>
      <w:r>
        <w:rPr>
          <w:rFonts w:hint="eastAsia" w:ascii="宋体" w:hAnsi="宋体" w:cs="宋体"/>
          <w:sz w:val="21"/>
          <w:szCs w:val="21"/>
          <w:lang w:val="en-US" w:eastAsia="zh-CN"/>
        </w:rPr>
        <w:t>6</w:t>
      </w:r>
      <w:r>
        <w:rPr>
          <w:rFonts w:hint="eastAsia" w:ascii="宋体" w:hAnsi="宋体" w:cs="宋体"/>
          <w:sz w:val="21"/>
          <w:szCs w:val="21"/>
        </w:rPr>
        <w:t>年《大同市</w:t>
      </w:r>
      <w:r>
        <w:rPr>
          <w:rFonts w:hint="eastAsia" w:ascii="宋体" w:hAnsi="宋体" w:cs="宋体"/>
          <w:sz w:val="21"/>
          <w:szCs w:val="21"/>
          <w:lang w:val="en-US" w:eastAsia="zh-CN"/>
        </w:rPr>
        <w:t>菱形金属网</w:t>
      </w:r>
      <w:r>
        <w:rPr>
          <w:rFonts w:hint="eastAsia" w:ascii="宋体" w:hAnsi="宋体" w:cs="宋体"/>
          <w:sz w:val="21"/>
          <w:szCs w:val="21"/>
        </w:rPr>
        <w:t>产品质量监督抽查实施细则》，判定该被抽查产品为不合格。</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NotTrackMoves/>
  <w:documentProtection w:enforcement="0"/>
  <w:defaultTabStop w:val="420"/>
  <w:drawingGridVerticalSpacing w:val="156"/>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JlZGYyMmNmOTdkN2RhNTZhMmJhYjc3M2JlNDc3MDUifQ=="/>
  </w:docVars>
  <w:rsids>
    <w:rsidRoot w:val="31494BC8"/>
    <w:rsid w:val="000812C4"/>
    <w:rsid w:val="000A048D"/>
    <w:rsid w:val="001525E6"/>
    <w:rsid w:val="00203E3F"/>
    <w:rsid w:val="002D1DCA"/>
    <w:rsid w:val="00341F12"/>
    <w:rsid w:val="004C4599"/>
    <w:rsid w:val="004E3746"/>
    <w:rsid w:val="005A4AB3"/>
    <w:rsid w:val="005F72B2"/>
    <w:rsid w:val="00623638"/>
    <w:rsid w:val="007D70F5"/>
    <w:rsid w:val="008505D9"/>
    <w:rsid w:val="00892862"/>
    <w:rsid w:val="008B37B8"/>
    <w:rsid w:val="0099487D"/>
    <w:rsid w:val="009F6B2A"/>
    <w:rsid w:val="00B03610"/>
    <w:rsid w:val="00BA513C"/>
    <w:rsid w:val="00CD165B"/>
    <w:rsid w:val="00D7347C"/>
    <w:rsid w:val="00E07980"/>
    <w:rsid w:val="00E709B3"/>
    <w:rsid w:val="00E95779"/>
    <w:rsid w:val="00ED3703"/>
    <w:rsid w:val="00FE01A5"/>
    <w:rsid w:val="08517143"/>
    <w:rsid w:val="08760663"/>
    <w:rsid w:val="0A38456E"/>
    <w:rsid w:val="0CB702BC"/>
    <w:rsid w:val="0CCC29CE"/>
    <w:rsid w:val="0CFB0936"/>
    <w:rsid w:val="0F4405B7"/>
    <w:rsid w:val="0FC43734"/>
    <w:rsid w:val="18315DF2"/>
    <w:rsid w:val="1BAE7B52"/>
    <w:rsid w:val="1C024049"/>
    <w:rsid w:val="1FD374AB"/>
    <w:rsid w:val="1FE92F31"/>
    <w:rsid w:val="22FC7B04"/>
    <w:rsid w:val="23CE6280"/>
    <w:rsid w:val="26AA50BD"/>
    <w:rsid w:val="28700AC7"/>
    <w:rsid w:val="29EA7B6E"/>
    <w:rsid w:val="2A801268"/>
    <w:rsid w:val="31494BC8"/>
    <w:rsid w:val="33DB0551"/>
    <w:rsid w:val="342B6470"/>
    <w:rsid w:val="3C5845E2"/>
    <w:rsid w:val="3F1420EC"/>
    <w:rsid w:val="3F6A2BFC"/>
    <w:rsid w:val="3FDB8977"/>
    <w:rsid w:val="421E1D44"/>
    <w:rsid w:val="4D0172AE"/>
    <w:rsid w:val="4F0D28B8"/>
    <w:rsid w:val="4F89778F"/>
    <w:rsid w:val="57E06219"/>
    <w:rsid w:val="57F33A03"/>
    <w:rsid w:val="5D821145"/>
    <w:rsid w:val="5D986B8A"/>
    <w:rsid w:val="64B03820"/>
    <w:rsid w:val="67C1159B"/>
    <w:rsid w:val="6A3912D6"/>
    <w:rsid w:val="6CE1000B"/>
    <w:rsid w:val="70273742"/>
    <w:rsid w:val="72433A20"/>
    <w:rsid w:val="78AD66AF"/>
    <w:rsid w:val="7A995229"/>
    <w:rsid w:val="7BEF0730"/>
    <w:rsid w:val="7DD966A8"/>
    <w:rsid w:val="7F7DAA49"/>
    <w:rsid w:val="7FFB7272"/>
    <w:rsid w:val="C3BD8F65"/>
    <w:rsid w:val="EF77B34A"/>
    <w:rsid w:val="FC7FEC6C"/>
    <w:rsid w:val="FE69242B"/>
    <w:rsid w:val="FEEF57D2"/>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semiHidden/>
    <w:unhideWhenUsed/>
    <w:qFormat/>
    <w:uiPriority w:val="99"/>
    <w:rPr>
      <w:color w:val="000000"/>
      <w:sz w:val="21"/>
      <w:szCs w:val="21"/>
      <w:u w:val="none"/>
    </w:rPr>
  </w:style>
  <w:style w:type="character" w:styleId="7">
    <w:name w:val="Hyperlink"/>
    <w:basedOn w:val="5"/>
    <w:semiHidden/>
    <w:unhideWhenUsed/>
    <w:qFormat/>
    <w:uiPriority w:val="99"/>
    <w:rPr>
      <w:color w:val="000000"/>
      <w:sz w:val="21"/>
      <w:szCs w:val="21"/>
      <w:u w:val="none"/>
    </w:rPr>
  </w:style>
  <w:style w:type="character" w:customStyle="1" w:styleId="8">
    <w:name w:val="页眉 Char"/>
    <w:basedOn w:val="5"/>
    <w:link w:val="3"/>
    <w:semiHidden/>
    <w:qFormat/>
    <w:uiPriority w:val="99"/>
    <w:rPr>
      <w:rFonts w:ascii="Calibri" w:hAnsi="Calibri"/>
      <w:kern w:val="2"/>
      <w:sz w:val="18"/>
      <w:szCs w:val="18"/>
    </w:rPr>
  </w:style>
  <w:style w:type="character" w:customStyle="1" w:styleId="9">
    <w:name w:val="页脚 Char"/>
    <w:basedOn w:val="5"/>
    <w:link w:val="2"/>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854</Words>
  <Characters>913</Characters>
  <Lines>12</Lines>
  <Paragraphs>3</Paragraphs>
  <TotalTime>1</TotalTime>
  <ScaleCrop>false</ScaleCrop>
  <LinksUpToDate>false</LinksUpToDate>
  <CharactersWithSpaces>920</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2021-06-23T10:04:00Z</dcterms:created>
  <dc:creator>行走人间</dc:creator>
  <cp:lastModifiedBy>greatwall</cp:lastModifiedBy>
  <cp:lastPrinted>2026-05-25T17:38:16Z</cp:lastPrinted>
  <dcterms:modified xsi:type="dcterms:W3CDTF">2026-05-25T17:38:28Z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8AD743CBB4CA4396AB22A3B0529218E2</vt:lpwstr>
  </property>
  <property fmtid="{D5CDD505-2E9C-101B-9397-08002B2CF9AE}" pid="4" name="KSOTemplateDocerSaveRecord">
    <vt:lpwstr>eyJoZGlkIjoiZDYzMmFkOGI1MGEyOWQxMWQzMDU3ZTlkODI2ZTQ0ZjkiLCJ1c2VySWQiOiIyOTA2MzUyNzYifQ==</vt:lpwstr>
  </property>
</Properties>
</file>