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cs="黑体"/>
          <w:color w:val="000000"/>
          <w:sz w:val="32"/>
          <w:szCs w:val="32"/>
        </w:rPr>
      </w:pPr>
      <w:r>
        <w:rPr>
          <w:rFonts w:hint="eastAsia" w:ascii="黑体" w:hAnsi="黑体" w:eastAsia="黑体" w:cs="黑体"/>
          <w:color w:val="000000"/>
          <w:sz w:val="32"/>
          <w:szCs w:val="32"/>
        </w:rPr>
        <w:t>大同市产品质量监督抽查实施细则</w:t>
      </w:r>
    </w:p>
    <w:p>
      <w:pPr>
        <w:jc w:val="center"/>
        <w:rPr>
          <w:rFonts w:hint="eastAsia" w:ascii="黑体" w:hAnsi="黑体" w:eastAsia="黑体" w:cs="黑体"/>
          <w:color w:val="000000"/>
          <w:sz w:val="32"/>
          <w:szCs w:val="32"/>
        </w:rPr>
      </w:pPr>
      <w:r>
        <w:rPr>
          <w:rFonts w:hint="eastAsia" w:ascii="黑体" w:hAnsi="黑体" w:eastAsia="黑体" w:cs="黑体"/>
          <w:color w:val="000000"/>
          <w:sz w:val="32"/>
          <w:szCs w:val="32"/>
        </w:rPr>
        <w:t>建筑用钢筋</w:t>
      </w:r>
    </w:p>
    <w:p>
      <w:pPr>
        <w:jc w:val="center"/>
        <w:rPr>
          <w:rFonts w:hint="eastAsia" w:ascii="黑体" w:hAnsi="黑体" w:eastAsia="黑体" w:cs="黑体"/>
          <w:color w:val="000000"/>
          <w:sz w:val="32"/>
          <w:szCs w:val="32"/>
        </w:rPr>
      </w:pPr>
    </w:p>
    <w:p>
      <w:pPr>
        <w:spacing w:line="500" w:lineRule="exact"/>
        <w:rPr>
          <w:rFonts w:ascii="Times New Roman" w:hAnsi="Times New Roman" w:eastAsia="黑体"/>
          <w:bCs/>
          <w:color w:val="000000"/>
          <w:szCs w:val="21"/>
        </w:rPr>
      </w:pPr>
      <w:r>
        <w:rPr>
          <w:rFonts w:hint="eastAsia" w:ascii="黑体" w:hAnsi="黑体" w:eastAsia="黑体" w:cs="黑体"/>
          <w:b/>
          <w:bCs/>
          <w:color w:val="000000"/>
          <w:szCs w:val="21"/>
        </w:rPr>
        <w:t>1 抽样方法</w:t>
      </w:r>
    </w:p>
    <w:p>
      <w:pPr>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以随机抽样的方式在被抽样生产者、销售者的待销产品中抽取。</w:t>
      </w:r>
    </w:p>
    <w:p>
      <w:pPr>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随机数一般可使用随机数表、扑克牌、随机数骰子等方法产生。</w:t>
      </w:r>
    </w:p>
    <w:p>
      <w:pPr>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对直条钢筋取样时，在同一批次（同一牌号、同一规格）的产品中抽取</w:t>
      </w:r>
      <w:r>
        <w:rPr>
          <w:rFonts w:ascii="Times New Roman" w:hAnsi="Times New Roman"/>
          <w:color w:val="000000"/>
          <w:szCs w:val="21"/>
        </w:rPr>
        <w:t>5</w:t>
      </w:r>
      <w:r>
        <w:rPr>
          <w:rFonts w:hint="eastAsia" w:ascii="Times New Roman" w:hAnsi="Times New Roman"/>
          <w:color w:val="000000"/>
          <w:szCs w:val="21"/>
        </w:rPr>
        <w:t>根钢筋，每根钢筋截取的长度为</w:t>
      </w:r>
      <w:r>
        <w:rPr>
          <w:rFonts w:hint="eastAsia" w:ascii="Times New Roman" w:hAnsi="Times New Roman"/>
          <w:color w:val="000000"/>
          <w:szCs w:val="21"/>
          <w:lang w:eastAsia="zh-CN"/>
        </w:rPr>
        <w:t>大于</w:t>
      </w:r>
      <w:r>
        <w:rPr>
          <w:rFonts w:hint="eastAsia" w:ascii="Times New Roman" w:hAnsi="Times New Roman"/>
          <w:color w:val="FF0000"/>
          <w:szCs w:val="21"/>
          <w:lang w:val="en-US" w:eastAsia="zh-CN"/>
        </w:rPr>
        <w:t>20</w:t>
      </w:r>
      <w:r>
        <w:rPr>
          <w:rFonts w:hint="eastAsia" w:ascii="Times New Roman" w:hAnsi="Times New Roman"/>
          <w:color w:val="FF0000"/>
          <w:szCs w:val="21"/>
        </w:rPr>
        <w:t>00</w:t>
      </w:r>
      <w:r>
        <w:rPr>
          <w:rFonts w:ascii="Times New Roman" w:hAnsi="Times New Roman"/>
          <w:color w:val="FF0000"/>
          <w:szCs w:val="21"/>
        </w:rPr>
        <w:t>mm</w:t>
      </w:r>
      <w:r>
        <w:rPr>
          <w:rFonts w:hint="eastAsia" w:ascii="Times New Roman" w:hAnsi="Times New Roman"/>
          <w:color w:val="FF0000"/>
          <w:szCs w:val="21"/>
        </w:rPr>
        <w:t>，</w:t>
      </w:r>
      <w:r>
        <w:rPr>
          <w:rFonts w:hint="eastAsia" w:ascii="Times New Roman" w:hAnsi="Times New Roman"/>
          <w:color w:val="000000"/>
          <w:szCs w:val="21"/>
        </w:rPr>
        <w:t>逐根顺序编号为</w:t>
      </w:r>
      <w:r>
        <w:rPr>
          <w:rFonts w:ascii="Times New Roman" w:hAnsi="Times New Roman"/>
          <w:color w:val="000000"/>
          <w:szCs w:val="21"/>
        </w:rPr>
        <w:t>1</w:t>
      </w:r>
      <w:r>
        <w:rPr>
          <w:rFonts w:hint="eastAsia" w:ascii="Times New Roman" w:hAnsi="Times New Roman"/>
          <w:color w:val="000000"/>
          <w:szCs w:val="21"/>
        </w:rPr>
        <w:t>～</w:t>
      </w:r>
      <w:r>
        <w:rPr>
          <w:rFonts w:ascii="Times New Roman" w:hAnsi="Times New Roman"/>
          <w:color w:val="000000"/>
          <w:szCs w:val="21"/>
        </w:rPr>
        <w:t>5</w:t>
      </w:r>
      <w:r>
        <w:rPr>
          <w:rFonts w:hint="eastAsia" w:ascii="Times New Roman" w:hAnsi="Times New Roman"/>
          <w:color w:val="000000"/>
          <w:szCs w:val="21"/>
        </w:rPr>
        <w:t>，再把每根钢筋分成</w:t>
      </w:r>
      <w:r>
        <w:rPr>
          <w:rFonts w:ascii="Times New Roman" w:hAnsi="Times New Roman"/>
          <w:color w:val="000000"/>
          <w:szCs w:val="21"/>
        </w:rPr>
        <w:t>2</w:t>
      </w:r>
      <w:r>
        <w:rPr>
          <w:rFonts w:hint="eastAsia" w:ascii="Times New Roman" w:hAnsi="Times New Roman"/>
          <w:color w:val="000000"/>
          <w:szCs w:val="21"/>
        </w:rPr>
        <w:t>支长度为</w:t>
      </w:r>
      <w:r>
        <w:rPr>
          <w:rFonts w:hint="eastAsia" w:ascii="Times New Roman" w:hAnsi="Times New Roman"/>
          <w:color w:val="000000"/>
          <w:szCs w:val="21"/>
          <w:lang w:eastAsia="zh-CN"/>
        </w:rPr>
        <w:t>≥</w:t>
      </w:r>
      <w:r>
        <w:rPr>
          <w:rFonts w:hint="eastAsia" w:ascii="Times New Roman" w:hAnsi="Times New Roman"/>
          <w:color w:val="FF0000"/>
          <w:szCs w:val="21"/>
        </w:rPr>
        <w:t>1</w:t>
      </w:r>
      <w:r>
        <w:rPr>
          <w:rFonts w:hint="eastAsia" w:ascii="Times New Roman" w:hAnsi="Times New Roman"/>
          <w:color w:val="FF0000"/>
          <w:szCs w:val="21"/>
          <w:lang w:val="en-US" w:eastAsia="zh-CN"/>
        </w:rPr>
        <w:t>0</w:t>
      </w:r>
      <w:r>
        <w:rPr>
          <w:rFonts w:hint="eastAsia" w:ascii="Times New Roman" w:hAnsi="Times New Roman"/>
          <w:color w:val="FF0000"/>
          <w:szCs w:val="21"/>
        </w:rPr>
        <w:t>00</w:t>
      </w:r>
      <w:r>
        <w:rPr>
          <w:rFonts w:ascii="Times New Roman" w:hAnsi="Times New Roman"/>
          <w:color w:val="FF0000"/>
          <w:szCs w:val="21"/>
        </w:rPr>
        <w:t>mm</w:t>
      </w:r>
      <w:r>
        <w:rPr>
          <w:rFonts w:hint="eastAsia" w:ascii="Times New Roman" w:hAnsi="Times New Roman"/>
          <w:color w:val="000000"/>
          <w:szCs w:val="21"/>
        </w:rPr>
        <w:t>的样品，</w:t>
      </w:r>
      <w:r>
        <w:rPr>
          <w:rFonts w:ascii="Times New Roman" w:hAnsi="Times New Roman"/>
          <w:color w:val="000000"/>
          <w:szCs w:val="21"/>
        </w:rPr>
        <w:t>2</w:t>
      </w:r>
      <w:r>
        <w:rPr>
          <w:rFonts w:hint="eastAsia" w:ascii="Times New Roman" w:hAnsi="Times New Roman"/>
          <w:color w:val="000000"/>
          <w:szCs w:val="21"/>
        </w:rPr>
        <w:t>支样品逐支编号标记，并一一对应（如</w:t>
      </w:r>
      <w:r>
        <w:rPr>
          <w:rFonts w:ascii="Times New Roman" w:hAnsi="Times New Roman"/>
          <w:color w:val="000000"/>
          <w:szCs w:val="21"/>
        </w:rPr>
        <w:t>1-a</w:t>
      </w:r>
      <w:r>
        <w:rPr>
          <w:rFonts w:hint="eastAsia" w:ascii="Times New Roman" w:hAnsi="Times New Roman"/>
          <w:color w:val="000000"/>
          <w:szCs w:val="21"/>
        </w:rPr>
        <w:t>，</w:t>
      </w:r>
      <w:r>
        <w:rPr>
          <w:rFonts w:ascii="Times New Roman" w:hAnsi="Times New Roman"/>
          <w:color w:val="000000"/>
          <w:szCs w:val="21"/>
        </w:rPr>
        <w:t>1-b</w:t>
      </w:r>
      <w:r>
        <w:rPr>
          <w:rFonts w:hint="eastAsia" w:ascii="Times New Roman" w:hAnsi="Times New Roman"/>
          <w:color w:val="000000"/>
          <w:szCs w:val="21"/>
        </w:rPr>
        <w:t>），每支样品要保证有完整的表面标志，标记</w:t>
      </w:r>
      <w:r>
        <w:rPr>
          <w:rFonts w:ascii="Times New Roman" w:hAnsi="Times New Roman"/>
          <w:color w:val="000000"/>
          <w:szCs w:val="21"/>
        </w:rPr>
        <w:t>a</w:t>
      </w:r>
      <w:r>
        <w:rPr>
          <w:rFonts w:hint="eastAsia" w:ascii="Times New Roman" w:hAnsi="Times New Roman"/>
          <w:color w:val="000000"/>
          <w:szCs w:val="21"/>
        </w:rPr>
        <w:t>的</w:t>
      </w:r>
      <w:r>
        <w:rPr>
          <w:rFonts w:ascii="Times New Roman" w:hAnsi="Times New Roman"/>
          <w:color w:val="000000"/>
          <w:szCs w:val="21"/>
        </w:rPr>
        <w:t>5</w:t>
      </w:r>
      <w:r>
        <w:rPr>
          <w:rFonts w:hint="eastAsia" w:ascii="Times New Roman" w:hAnsi="Times New Roman"/>
          <w:color w:val="000000"/>
          <w:szCs w:val="21"/>
        </w:rPr>
        <w:t>支样品为检验样品，标记</w:t>
      </w:r>
      <w:r>
        <w:rPr>
          <w:rFonts w:ascii="Times New Roman" w:hAnsi="Times New Roman"/>
          <w:color w:val="000000"/>
          <w:szCs w:val="21"/>
        </w:rPr>
        <w:t>b</w:t>
      </w:r>
      <w:r>
        <w:rPr>
          <w:rFonts w:hint="eastAsia" w:ascii="Times New Roman" w:hAnsi="Times New Roman"/>
          <w:color w:val="000000"/>
          <w:szCs w:val="21"/>
        </w:rPr>
        <w:t>的</w:t>
      </w:r>
      <w:r>
        <w:rPr>
          <w:rFonts w:ascii="Times New Roman" w:hAnsi="Times New Roman"/>
          <w:color w:val="000000"/>
          <w:szCs w:val="21"/>
        </w:rPr>
        <w:t>5</w:t>
      </w:r>
      <w:r>
        <w:rPr>
          <w:rFonts w:hint="eastAsia" w:ascii="Times New Roman" w:hAnsi="Times New Roman"/>
          <w:color w:val="000000"/>
          <w:szCs w:val="21"/>
        </w:rPr>
        <w:t>支样品为备用样品。</w:t>
      </w:r>
    </w:p>
    <w:p>
      <w:pPr>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对盘卷钢筋取样时，在同一批次（同一牌号、同一规格）的产品中抽取</w:t>
      </w:r>
      <w:r>
        <w:rPr>
          <w:rFonts w:ascii="Times New Roman" w:hAnsi="Times New Roman"/>
          <w:color w:val="000000"/>
          <w:szCs w:val="21"/>
        </w:rPr>
        <w:t>5</w:t>
      </w:r>
      <w:r>
        <w:rPr>
          <w:rFonts w:hint="eastAsia" w:ascii="Times New Roman" w:hAnsi="Times New Roman"/>
          <w:color w:val="000000"/>
          <w:szCs w:val="21"/>
        </w:rPr>
        <w:t>盘产品，在每盘钢筋上距头或尾至少</w:t>
      </w:r>
      <w:r>
        <w:rPr>
          <w:rFonts w:ascii="Times New Roman" w:hAnsi="Times New Roman"/>
          <w:color w:val="000000"/>
          <w:szCs w:val="21"/>
        </w:rPr>
        <w:t>2000mm</w:t>
      </w:r>
      <w:r>
        <w:rPr>
          <w:rFonts w:hint="eastAsia" w:ascii="Times New Roman" w:hAnsi="Times New Roman"/>
          <w:color w:val="000000"/>
          <w:szCs w:val="21"/>
        </w:rPr>
        <w:t>处，随机截取</w:t>
      </w:r>
      <w:r>
        <w:rPr>
          <w:rFonts w:ascii="Times New Roman" w:hAnsi="Times New Roman"/>
          <w:color w:val="000000"/>
          <w:szCs w:val="21"/>
        </w:rPr>
        <w:t>1</w:t>
      </w:r>
      <w:r>
        <w:rPr>
          <w:rFonts w:hint="eastAsia" w:ascii="Times New Roman" w:hAnsi="Times New Roman"/>
          <w:color w:val="000000"/>
          <w:szCs w:val="21"/>
        </w:rPr>
        <w:t>根长度为</w:t>
      </w:r>
      <w:r>
        <w:rPr>
          <w:rFonts w:hint="eastAsia" w:ascii="Times New Roman" w:hAnsi="Times New Roman"/>
          <w:color w:val="FF0000"/>
          <w:szCs w:val="21"/>
        </w:rPr>
        <w:t>2</w:t>
      </w:r>
      <w:r>
        <w:rPr>
          <w:rFonts w:hint="eastAsia" w:ascii="Times New Roman" w:hAnsi="Times New Roman"/>
          <w:color w:val="FF0000"/>
          <w:szCs w:val="21"/>
          <w:lang w:val="en-US" w:eastAsia="zh-CN"/>
        </w:rPr>
        <w:t>0</w:t>
      </w:r>
      <w:r>
        <w:rPr>
          <w:rFonts w:hint="eastAsia" w:ascii="Times New Roman" w:hAnsi="Times New Roman"/>
          <w:color w:val="FF0000"/>
          <w:szCs w:val="21"/>
        </w:rPr>
        <w:t>00</w:t>
      </w:r>
      <w:r>
        <w:rPr>
          <w:rFonts w:ascii="Times New Roman" w:hAnsi="Times New Roman"/>
          <w:color w:val="FF0000"/>
          <w:szCs w:val="21"/>
        </w:rPr>
        <w:t>mm</w:t>
      </w:r>
      <w:r>
        <w:rPr>
          <w:rFonts w:hint="eastAsia" w:ascii="Times New Roman" w:hAnsi="Times New Roman"/>
          <w:color w:val="000000"/>
          <w:szCs w:val="21"/>
        </w:rPr>
        <w:t>的钢筋，逐根顺序编号为</w:t>
      </w:r>
      <w:r>
        <w:rPr>
          <w:rFonts w:ascii="Times New Roman" w:hAnsi="Times New Roman"/>
          <w:color w:val="000000"/>
          <w:szCs w:val="21"/>
        </w:rPr>
        <w:t>1</w:t>
      </w:r>
      <w:r>
        <w:rPr>
          <w:rFonts w:hint="eastAsia" w:ascii="Times New Roman" w:hAnsi="Times New Roman"/>
          <w:color w:val="000000"/>
          <w:szCs w:val="21"/>
        </w:rPr>
        <w:t>～</w:t>
      </w:r>
      <w:r>
        <w:rPr>
          <w:rFonts w:ascii="Times New Roman" w:hAnsi="Times New Roman"/>
          <w:color w:val="000000"/>
          <w:szCs w:val="21"/>
        </w:rPr>
        <w:t>5</w:t>
      </w:r>
      <w:r>
        <w:rPr>
          <w:rFonts w:hint="eastAsia" w:ascii="Times New Roman" w:hAnsi="Times New Roman"/>
          <w:color w:val="000000"/>
          <w:szCs w:val="21"/>
        </w:rPr>
        <w:t>，再把每根钢筋分成</w:t>
      </w:r>
      <w:r>
        <w:rPr>
          <w:rFonts w:ascii="Times New Roman" w:hAnsi="Times New Roman"/>
          <w:color w:val="000000"/>
          <w:szCs w:val="21"/>
        </w:rPr>
        <w:t>2</w:t>
      </w:r>
      <w:r>
        <w:rPr>
          <w:rFonts w:hint="eastAsia" w:ascii="Times New Roman" w:hAnsi="Times New Roman"/>
          <w:color w:val="000000"/>
          <w:szCs w:val="21"/>
        </w:rPr>
        <w:t>支长度为</w:t>
      </w:r>
      <w:r>
        <w:rPr>
          <w:rFonts w:hint="eastAsia" w:ascii="Times New Roman" w:hAnsi="Times New Roman"/>
          <w:color w:val="FF0000"/>
          <w:szCs w:val="21"/>
        </w:rPr>
        <w:t>1</w:t>
      </w:r>
      <w:r>
        <w:rPr>
          <w:rFonts w:hint="eastAsia" w:ascii="Times New Roman" w:hAnsi="Times New Roman"/>
          <w:color w:val="FF0000"/>
          <w:szCs w:val="21"/>
          <w:lang w:val="en-US" w:eastAsia="zh-CN"/>
        </w:rPr>
        <w:t>0</w:t>
      </w:r>
      <w:r>
        <w:rPr>
          <w:rFonts w:hint="eastAsia" w:ascii="Times New Roman" w:hAnsi="Times New Roman"/>
          <w:color w:val="FF0000"/>
          <w:szCs w:val="21"/>
        </w:rPr>
        <w:t>00</w:t>
      </w:r>
      <w:r>
        <w:rPr>
          <w:rFonts w:ascii="Times New Roman" w:hAnsi="Times New Roman"/>
          <w:color w:val="FF0000"/>
          <w:szCs w:val="21"/>
        </w:rPr>
        <w:t>mm</w:t>
      </w:r>
      <w:r>
        <w:rPr>
          <w:rFonts w:hint="eastAsia" w:ascii="Times New Roman" w:hAnsi="Times New Roman"/>
          <w:color w:val="000000"/>
          <w:szCs w:val="21"/>
        </w:rPr>
        <w:t>的样品，</w:t>
      </w:r>
      <w:r>
        <w:rPr>
          <w:rFonts w:ascii="Times New Roman" w:hAnsi="Times New Roman"/>
          <w:color w:val="000000"/>
          <w:szCs w:val="21"/>
        </w:rPr>
        <w:t>2</w:t>
      </w:r>
      <w:r>
        <w:rPr>
          <w:rFonts w:hint="eastAsia" w:ascii="Times New Roman" w:hAnsi="Times New Roman"/>
          <w:color w:val="000000"/>
          <w:szCs w:val="21"/>
        </w:rPr>
        <w:t>支样品逐支编号标记，并一一对应（如</w:t>
      </w:r>
      <w:r>
        <w:rPr>
          <w:rFonts w:ascii="Times New Roman" w:hAnsi="Times New Roman"/>
          <w:color w:val="000000"/>
          <w:szCs w:val="21"/>
        </w:rPr>
        <w:t>1-a</w:t>
      </w:r>
      <w:r>
        <w:rPr>
          <w:rFonts w:hint="eastAsia" w:ascii="Times New Roman" w:hAnsi="Times New Roman"/>
          <w:color w:val="000000"/>
          <w:szCs w:val="21"/>
        </w:rPr>
        <w:t>，</w:t>
      </w:r>
      <w:r>
        <w:rPr>
          <w:rFonts w:ascii="Times New Roman" w:hAnsi="Times New Roman"/>
          <w:color w:val="000000"/>
          <w:szCs w:val="21"/>
        </w:rPr>
        <w:t>1-b</w:t>
      </w:r>
      <w:r>
        <w:rPr>
          <w:rFonts w:hint="eastAsia" w:ascii="Times New Roman" w:hAnsi="Times New Roman"/>
          <w:color w:val="000000"/>
          <w:szCs w:val="21"/>
        </w:rPr>
        <w:t>），每支样品要保证有完整的表面标志。标记</w:t>
      </w:r>
      <w:r>
        <w:rPr>
          <w:rFonts w:ascii="Times New Roman" w:hAnsi="Times New Roman"/>
          <w:color w:val="000000"/>
          <w:szCs w:val="21"/>
        </w:rPr>
        <w:t>a</w:t>
      </w:r>
      <w:r>
        <w:rPr>
          <w:rFonts w:hint="eastAsia" w:ascii="Times New Roman" w:hAnsi="Times New Roman"/>
          <w:color w:val="000000"/>
          <w:szCs w:val="21"/>
        </w:rPr>
        <w:t>的</w:t>
      </w:r>
      <w:r>
        <w:rPr>
          <w:rFonts w:ascii="Times New Roman" w:hAnsi="Times New Roman"/>
          <w:color w:val="000000"/>
          <w:szCs w:val="21"/>
        </w:rPr>
        <w:t>5</w:t>
      </w:r>
      <w:r>
        <w:rPr>
          <w:rFonts w:hint="eastAsia" w:ascii="Times New Roman" w:hAnsi="Times New Roman"/>
          <w:color w:val="000000"/>
          <w:szCs w:val="21"/>
        </w:rPr>
        <w:t>支样品为检验样品，标记</w:t>
      </w:r>
      <w:r>
        <w:rPr>
          <w:rFonts w:ascii="Times New Roman" w:hAnsi="Times New Roman"/>
          <w:color w:val="000000"/>
          <w:szCs w:val="21"/>
        </w:rPr>
        <w:t>b</w:t>
      </w:r>
      <w:r>
        <w:rPr>
          <w:rFonts w:hint="eastAsia" w:ascii="Times New Roman" w:hAnsi="Times New Roman"/>
          <w:color w:val="000000"/>
          <w:szCs w:val="21"/>
        </w:rPr>
        <w:t>的</w:t>
      </w:r>
      <w:r>
        <w:rPr>
          <w:rFonts w:ascii="Times New Roman" w:hAnsi="Times New Roman"/>
          <w:color w:val="000000"/>
          <w:szCs w:val="21"/>
        </w:rPr>
        <w:t>5</w:t>
      </w:r>
      <w:r>
        <w:rPr>
          <w:rFonts w:hint="eastAsia" w:ascii="Times New Roman" w:hAnsi="Times New Roman"/>
          <w:color w:val="000000"/>
          <w:szCs w:val="21"/>
        </w:rPr>
        <w:t>支样品为备用样品。</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2 检验依据</w:t>
      </w:r>
    </w:p>
    <w:p>
      <w:pPr>
        <w:adjustRightInd w:val="0"/>
        <w:snapToGrid w:val="0"/>
        <w:spacing w:line="500" w:lineRule="exact"/>
        <w:ind w:firstLine="420"/>
        <w:jc w:val="center"/>
        <w:rPr>
          <w:rFonts w:ascii="Times New Roman" w:hAnsi="Times New Roman"/>
          <w:color w:val="000000"/>
          <w:szCs w:val="21"/>
        </w:rPr>
      </w:pPr>
      <w:r>
        <w:rPr>
          <w:rFonts w:hint="eastAsia" w:ascii="Times New Roman" w:hAnsi="Times New Roman"/>
          <w:color w:val="000000"/>
          <w:szCs w:val="21"/>
        </w:rPr>
        <w:t>表</w:t>
      </w:r>
      <w:r>
        <w:rPr>
          <w:rFonts w:ascii="Times New Roman" w:hAnsi="Times New Roman"/>
          <w:color w:val="000000"/>
          <w:szCs w:val="21"/>
        </w:rPr>
        <w:t xml:space="preserve">1  </w:t>
      </w:r>
      <w:r>
        <w:rPr>
          <w:rFonts w:hint="eastAsia" w:ascii="Times New Roman" w:hAnsi="Times New Roman"/>
          <w:color w:val="000000"/>
          <w:szCs w:val="21"/>
        </w:rPr>
        <w:t>建筑用钢筋</w:t>
      </w:r>
    </w:p>
    <w:tbl>
      <w:tblPr>
        <w:tblStyle w:val="4"/>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964"/>
        <w:gridCol w:w="5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序号</w:t>
            </w:r>
          </w:p>
        </w:tc>
        <w:tc>
          <w:tcPr>
            <w:tcW w:w="1210"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检验项目</w:t>
            </w:r>
          </w:p>
        </w:tc>
        <w:tc>
          <w:tcPr>
            <w:tcW w:w="3225"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1</w:t>
            </w:r>
          </w:p>
        </w:tc>
        <w:tc>
          <w:tcPr>
            <w:tcW w:w="1210" w:type="pct"/>
            <w:vAlign w:val="center"/>
          </w:tcPr>
          <w:p>
            <w:pPr>
              <w:adjustRightInd w:val="0"/>
              <w:snapToGrid w:val="0"/>
              <w:jc w:val="center"/>
              <w:rPr>
                <w:rFonts w:ascii="Times New Roman" w:hAnsi="Times New Roman"/>
                <w:color w:val="000000"/>
                <w:szCs w:val="21"/>
              </w:rPr>
            </w:pPr>
            <w:r>
              <w:rPr>
                <w:rFonts w:hint="eastAsia" w:ascii="Times New Roman" w:hAnsi="Times New Roman"/>
                <w:color w:val="000000"/>
                <w:szCs w:val="21"/>
              </w:rPr>
              <w:t>尺寸</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hint="default" w:ascii="Times New Roman" w:hAnsi="Times New Roman" w:eastAsia="宋体"/>
                <w:color w:val="000000"/>
                <w:szCs w:val="21"/>
                <w:lang w:val="en-US" w:eastAsia="zh-CN"/>
              </w:rPr>
            </w:pPr>
            <w:r>
              <w:rPr>
                <w:rFonts w:ascii="Times New Roman" w:hAnsi="Times New Roman"/>
                <w:color w:val="000000"/>
                <w:szCs w:val="21"/>
              </w:rPr>
              <w:t>GB1499.2-20</w:t>
            </w:r>
            <w:r>
              <w:rPr>
                <w:rFonts w:hint="eastAsia" w:ascii="Times New Roman" w:hAnsi="Times New Roman"/>
                <w:color w:val="000000"/>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2</w:t>
            </w:r>
          </w:p>
        </w:tc>
        <w:tc>
          <w:tcPr>
            <w:tcW w:w="1210" w:type="pct"/>
            <w:vAlign w:val="center"/>
          </w:tcPr>
          <w:p>
            <w:pPr>
              <w:adjustRightInd w:val="0"/>
              <w:snapToGrid w:val="0"/>
              <w:jc w:val="center"/>
              <w:rPr>
                <w:rFonts w:ascii="Times New Roman" w:hAnsi="Times New Roman"/>
                <w:color w:val="000000"/>
                <w:szCs w:val="21"/>
              </w:rPr>
            </w:pPr>
            <w:r>
              <w:rPr>
                <w:rFonts w:hint="eastAsia" w:ascii="Times New Roman" w:hAnsi="Times New Roman"/>
                <w:color w:val="000000"/>
                <w:szCs w:val="21"/>
              </w:rPr>
              <w:t>重量偏差</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hint="eastAsia"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3</w:t>
            </w:r>
          </w:p>
        </w:tc>
        <w:tc>
          <w:tcPr>
            <w:tcW w:w="1210" w:type="pct"/>
            <w:vAlign w:val="center"/>
          </w:tcPr>
          <w:p>
            <w:pPr>
              <w:jc w:val="center"/>
              <w:rPr>
                <w:rFonts w:ascii="Times New Roman" w:hAnsi="Times New Roman"/>
                <w:color w:val="000000"/>
                <w:szCs w:val="21"/>
              </w:rPr>
            </w:pPr>
            <w:r>
              <w:rPr>
                <w:rFonts w:hint="eastAsia" w:ascii="Times New Roman" w:hAnsi="Times New Roman"/>
                <w:color w:val="000000"/>
                <w:szCs w:val="21"/>
              </w:rPr>
              <w:t>屈服强度</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4</w:t>
            </w:r>
          </w:p>
        </w:tc>
        <w:tc>
          <w:tcPr>
            <w:tcW w:w="1210" w:type="pct"/>
            <w:vAlign w:val="center"/>
          </w:tcPr>
          <w:p>
            <w:pPr>
              <w:jc w:val="center"/>
              <w:rPr>
                <w:rFonts w:ascii="Times New Roman" w:hAnsi="Times New Roman"/>
                <w:color w:val="000000"/>
                <w:szCs w:val="21"/>
              </w:rPr>
            </w:pPr>
            <w:r>
              <w:rPr>
                <w:rFonts w:hint="eastAsia" w:ascii="Times New Roman" w:hAnsi="Times New Roman"/>
                <w:color w:val="000000"/>
                <w:szCs w:val="21"/>
              </w:rPr>
              <w:t>抗拉强度</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hint="eastAsia"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5</w:t>
            </w:r>
          </w:p>
        </w:tc>
        <w:tc>
          <w:tcPr>
            <w:tcW w:w="1210" w:type="pct"/>
            <w:vAlign w:val="center"/>
          </w:tcPr>
          <w:p>
            <w:pPr>
              <w:jc w:val="center"/>
              <w:rPr>
                <w:rFonts w:ascii="Times New Roman" w:hAnsi="Times New Roman"/>
                <w:color w:val="000000"/>
                <w:szCs w:val="21"/>
              </w:rPr>
            </w:pPr>
            <w:r>
              <w:rPr>
                <w:rFonts w:hint="eastAsia" w:ascii="Times New Roman" w:hAnsi="Times New Roman"/>
                <w:color w:val="000000"/>
                <w:szCs w:val="21"/>
                <w:lang w:eastAsia="zh-CN"/>
              </w:rPr>
              <w:t>断后</w:t>
            </w:r>
            <w:r>
              <w:rPr>
                <w:rFonts w:hint="eastAsia" w:ascii="Times New Roman" w:hAnsi="Times New Roman"/>
                <w:color w:val="000000"/>
                <w:szCs w:val="21"/>
              </w:rPr>
              <w:t>伸长率</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hint="eastAsia"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6</w:t>
            </w:r>
          </w:p>
        </w:tc>
        <w:tc>
          <w:tcPr>
            <w:tcW w:w="1210" w:type="pct"/>
            <w:vAlign w:val="center"/>
          </w:tcPr>
          <w:p>
            <w:pPr>
              <w:jc w:val="center"/>
              <w:rPr>
                <w:rFonts w:ascii="Times New Roman" w:hAnsi="Times New Roman"/>
                <w:color w:val="000000"/>
                <w:szCs w:val="21"/>
              </w:rPr>
            </w:pPr>
            <w:r>
              <w:object>
                <v:shape id="_x0000_i1025" o:spt="75" type="#_x0000_t75" style="height:15.75pt;width:38.25pt;" o:ole="t" filled="f" o:preferrelative="t" stroked="f" coordsize="21600,21600">
                  <v:path/>
                  <v:fill on="f" focussize="0,0"/>
                  <v:stroke on="f" joinstyle="miter"/>
                  <v:imagedata r:id="rId5" o:title=""/>
                  <o:lock v:ext="edit" aspectratio="t"/>
                  <w10:wrap type="none"/>
                  <w10:anchorlock/>
                </v:shape>
                <o:OLEObject Type="Embed" ProgID="Equation.3" ShapeID="_x0000_i1025" DrawAspect="Content" ObjectID="_1468075725" r:id="rId4">
                  <o:LockedField>false</o:LockedField>
                </o:OLEObject>
              </w:objec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7</w:t>
            </w:r>
          </w:p>
        </w:tc>
        <w:tc>
          <w:tcPr>
            <w:tcW w:w="1210" w:type="pct"/>
            <w:vAlign w:val="center"/>
          </w:tcPr>
          <w:p>
            <w:pPr>
              <w:jc w:val="center"/>
              <w:rPr>
                <w:rFonts w:ascii="Times New Roman" w:hAnsi="Times New Roman"/>
                <w:color w:val="000000"/>
                <w:szCs w:val="21"/>
              </w:rPr>
            </w:pPr>
            <w:r>
              <w:object>
                <v:shape id="_x0000_i1026" o:spt="75" type="#_x0000_t75" style="height:15.75pt;width:38.25pt;" o:ole="t" filled="f" o:preferrelative="t" stroked="f" coordsize="21600,21600">
                  <v:path/>
                  <v:fill on="f" focussize="0,0"/>
                  <v:stroke on="f" joinstyle="miter"/>
                  <v:imagedata r:id="rId7" o:title=""/>
                  <o:lock v:ext="edit" aspectratio="t"/>
                  <w10:wrap type="none"/>
                  <w10:anchorlock/>
                </v:shape>
                <o:OLEObject Type="Embed" ProgID="Equation.3" ShapeID="_x0000_i1026" DrawAspect="Content" ObjectID="_1468075726" r:id="rId6">
                  <o:LockedField>false</o:LockedField>
                </o:OLEObject>
              </w:objec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8</w:t>
            </w:r>
          </w:p>
        </w:tc>
        <w:tc>
          <w:tcPr>
            <w:tcW w:w="1210" w:type="pct"/>
            <w:vAlign w:val="center"/>
          </w:tcPr>
          <w:p>
            <w:pPr>
              <w:jc w:val="center"/>
            </w:pPr>
            <w:r>
              <w:rPr>
                <w:rFonts w:hint="eastAsia"/>
              </w:rPr>
              <w:t>弯曲</w:t>
            </w:r>
          </w:p>
        </w:tc>
        <w:tc>
          <w:tcPr>
            <w:tcW w:w="3225" w:type="pct"/>
            <w:vAlign w:val="center"/>
          </w:tcPr>
          <w:p>
            <w:pPr>
              <w:jc w:val="center"/>
              <w:rPr>
                <w:rFonts w:ascii="Times New Roman" w:hAnsi="Times New Roman"/>
                <w:color w:val="000000"/>
                <w:szCs w:val="21"/>
              </w:rPr>
            </w:pPr>
            <w:r>
              <w:rPr>
                <w:rFonts w:ascii="Times New Roman" w:hAnsi="Times New Roman"/>
                <w:color w:val="000000"/>
                <w:szCs w:val="21"/>
              </w:rPr>
              <w:t>GB1499.1-20</w:t>
            </w:r>
            <w:r>
              <w:rPr>
                <w:rFonts w:hint="eastAsia" w:ascii="Times New Roman" w:hAnsi="Times New Roman"/>
                <w:color w:val="000000"/>
                <w:szCs w:val="21"/>
              </w:rPr>
              <w:t>24</w:t>
            </w:r>
          </w:p>
          <w:p>
            <w:pPr>
              <w:jc w:val="center"/>
              <w:rPr>
                <w:rFonts w:hint="default" w:ascii="Times New Roman" w:hAnsi="Times New Roman"/>
                <w:color w:val="000000"/>
                <w:szCs w:val="21"/>
                <w:lang w:val="en-US"/>
              </w:rPr>
            </w:pPr>
            <w:r>
              <w:rPr>
                <w:rFonts w:ascii="Times New Roman" w:hAnsi="Times New Roman"/>
                <w:color w:val="000000"/>
                <w:szCs w:val="21"/>
              </w:rPr>
              <w:t>GB1499.2-20</w:t>
            </w:r>
            <w:r>
              <w:rPr>
                <w:rFonts w:hint="eastAsia" w:ascii="Times New Roman" w:hAnsi="Times New Roman"/>
                <w:color w:val="000000"/>
                <w:szCs w:val="21"/>
              </w:rPr>
              <w:t>24</w:t>
            </w:r>
          </w:p>
          <w:p>
            <w:pPr>
              <w:jc w:val="center"/>
              <w:rPr>
                <w:rFonts w:ascii="Times New Roman" w:hAnsi="Times New Roman"/>
                <w:color w:val="000000"/>
                <w:szCs w:val="21"/>
              </w:rPr>
            </w:pPr>
            <w:r>
              <w:rPr>
                <w:rFonts w:ascii="Times New Roman" w:hAnsi="Times New Roman"/>
                <w:color w:val="000000"/>
                <w:szCs w:val="21"/>
              </w:rPr>
              <w:t>GB/T 28900-20</w:t>
            </w:r>
            <w:r>
              <w:rPr>
                <w:rFonts w:hint="eastAsia" w:ascii="Times New Roman" w:hAnsi="Times New Roman"/>
                <w:color w:val="000000"/>
                <w:szCs w:val="21"/>
              </w:rPr>
              <w:t>22</w:t>
            </w:r>
          </w:p>
        </w:tc>
      </w:tr>
    </w:tbl>
    <w:p>
      <w:pPr>
        <w:adjustRightInd w:val="0"/>
        <w:snapToGrid w:val="0"/>
        <w:spacing w:line="500" w:lineRule="exact"/>
        <w:rPr>
          <w:rFonts w:ascii="Times New Roman" w:hAnsi="Times New Roman"/>
          <w:color w:val="000000"/>
          <w:szCs w:val="21"/>
        </w:rPr>
      </w:pPr>
    </w:p>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执行企业标准、团体标准、地方标准的产品，检验项目参照上述内容执行。</w:t>
      </w:r>
    </w:p>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凡是注日期的文件，其随后所有的修改单（不包括勘误的内容）或修订版不适用于本细则。凡是不注日期的文件，其最新版本适用于本细则。</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3判定原则及判定结论用语</w:t>
      </w:r>
    </w:p>
    <w:p>
      <w:pPr>
        <w:adjustRightInd w:val="0"/>
        <w:snapToGrid w:val="0"/>
        <w:spacing w:line="500" w:lineRule="exact"/>
        <w:rPr>
          <w:rFonts w:ascii="Times New Roman" w:hAnsi="Times New Roman"/>
          <w:color w:val="000000"/>
          <w:szCs w:val="21"/>
        </w:rPr>
      </w:pPr>
      <w:r>
        <w:rPr>
          <w:rFonts w:ascii="Times New Roman" w:hAnsi="Times New Roman"/>
          <w:color w:val="000000"/>
          <w:szCs w:val="21"/>
        </w:rPr>
        <w:t>3.1</w:t>
      </w:r>
      <w:r>
        <w:rPr>
          <w:rFonts w:hint="eastAsia" w:ascii="Times New Roman" w:hAnsi="Times New Roman"/>
          <w:color w:val="000000"/>
          <w:szCs w:val="21"/>
        </w:rPr>
        <w:t>依据标准</w:t>
      </w:r>
      <w:bookmarkStart w:id="0" w:name="_GoBack"/>
      <w:bookmarkEnd w:id="0"/>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GB1499.1-2024《钢筋混凝土用钢第1部分：热轧光圆钢筋》</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GB1499.2-2024《钢筋混凝土用钢第2部分：热轧带肋钢筋》</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现行有效的企业标准、团体标准、地方标准及产品明示质量要求</w:t>
      </w:r>
    </w:p>
    <w:p>
      <w:pPr>
        <w:adjustRightInd w:val="0"/>
        <w:snapToGrid w:val="0"/>
        <w:spacing w:line="500" w:lineRule="exact"/>
        <w:rPr>
          <w:rFonts w:ascii="Times New Roman" w:hAnsi="Times New Roman"/>
          <w:color w:val="000000"/>
          <w:szCs w:val="21"/>
        </w:rPr>
      </w:pPr>
      <w:r>
        <w:rPr>
          <w:rFonts w:ascii="Times New Roman" w:hAnsi="Times New Roman"/>
          <w:color w:val="000000"/>
          <w:szCs w:val="21"/>
        </w:rPr>
        <w:t>3.2</w:t>
      </w:r>
      <w:r>
        <w:rPr>
          <w:rFonts w:hint="eastAsia" w:ascii="Times New Roman" w:hAnsi="Times New Roman"/>
          <w:color w:val="000000"/>
          <w:szCs w:val="21"/>
        </w:rPr>
        <w:t>判定原则</w:t>
      </w:r>
    </w:p>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经检验，检验项目全部合格，判定为被抽查产品所检项目未发现不合格；检验项目中任一项或一项以上不合格，判定为被抽查产品不合格。</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若被检产品明示的质量要求高于本细则中检验项目依据的标准要求时，应按被检产品明示的质量要求判定。</w:t>
      </w:r>
    </w:p>
    <w:p>
      <w:pPr>
        <w:adjustRightInd w:val="0"/>
        <w:snapToGrid w:val="0"/>
        <w:spacing w:line="500" w:lineRule="exact"/>
        <w:ind w:firstLine="417" w:firstLineChars="199"/>
        <w:rPr>
          <w:rFonts w:ascii="Times New Roman" w:hAnsi="Times New Roman"/>
          <w:szCs w:val="21"/>
        </w:rPr>
      </w:pPr>
      <w:r>
        <w:rPr>
          <w:rFonts w:hint="eastAsia" w:ascii="Times New Roman" w:hAnsi="Times New Roman"/>
          <w:color w:val="000000"/>
          <w:szCs w:val="21"/>
        </w:rPr>
        <w:t>若被检产品明示的质量要求低于本细则中</w:t>
      </w:r>
      <w:r>
        <w:rPr>
          <w:rFonts w:hint="eastAsia" w:ascii="Times New Roman" w:hAnsi="Times New Roman"/>
          <w:szCs w:val="21"/>
        </w:rPr>
        <w:t>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若被检产品明示的质量要求低于或包含本细则中检验项目依据的推荐性标准要求时，应以被检产品明示的质量要求判定。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若被检产品明示的质量要求缺少本细则中检验项目依据的推荐性标准要求时，该项目不参与判定。</w:t>
      </w:r>
    </w:p>
    <w:p>
      <w:pPr>
        <w:spacing w:line="500" w:lineRule="exact"/>
        <w:rPr>
          <w:rFonts w:ascii="Times New Roman" w:hAnsi="Times New Roman"/>
          <w:b/>
          <w:bCs/>
          <w:color w:val="000000"/>
          <w:szCs w:val="21"/>
        </w:rPr>
      </w:pPr>
      <w:r>
        <w:rPr>
          <w:rFonts w:ascii="Times New Roman" w:hAnsi="Times New Roman"/>
          <w:color w:val="000000"/>
          <w:szCs w:val="21"/>
        </w:rPr>
        <w:t xml:space="preserve">3.3 </w:t>
      </w:r>
      <w:r>
        <w:rPr>
          <w:rFonts w:hint="eastAsia" w:ascii="Times New Roman" w:hAnsi="Times New Roman"/>
          <w:color w:val="000000"/>
          <w:szCs w:val="21"/>
        </w:rPr>
        <w:t>判定结论用语：</w:t>
      </w:r>
    </w:p>
    <w:p>
      <w:pPr>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合格结论用语：经抽样检验，所检项目符合</w:t>
      </w:r>
      <w:r>
        <w:rPr>
          <w:rFonts w:ascii="Times New Roman" w:hAnsi="Times New Roman"/>
          <w:color w:val="000000"/>
          <w:szCs w:val="21"/>
        </w:rPr>
        <w:t>GB1499.1-20</w:t>
      </w:r>
      <w:r>
        <w:rPr>
          <w:rFonts w:hint="eastAsia" w:ascii="Times New Roman" w:hAnsi="Times New Roman"/>
          <w:color w:val="000000"/>
          <w:szCs w:val="21"/>
        </w:rPr>
        <w:t>24《钢筋混凝土用钢第</w:t>
      </w:r>
      <w:r>
        <w:rPr>
          <w:rFonts w:ascii="Times New Roman" w:hAnsi="Times New Roman"/>
          <w:color w:val="000000"/>
          <w:szCs w:val="21"/>
        </w:rPr>
        <w:t>1</w:t>
      </w:r>
      <w:r>
        <w:rPr>
          <w:rFonts w:hint="eastAsia" w:ascii="Times New Roman" w:hAnsi="Times New Roman"/>
          <w:color w:val="000000"/>
          <w:szCs w:val="21"/>
        </w:rPr>
        <w:t>部分：热轧光圆钢筋》或</w:t>
      </w:r>
      <w:r>
        <w:rPr>
          <w:rFonts w:ascii="Times New Roman" w:hAnsi="Times New Roman"/>
          <w:color w:val="000000"/>
          <w:szCs w:val="21"/>
        </w:rPr>
        <w:t>GB1499.2-20</w:t>
      </w:r>
      <w:r>
        <w:rPr>
          <w:rFonts w:hint="eastAsia" w:ascii="Times New Roman" w:hAnsi="Times New Roman"/>
          <w:color w:val="000000"/>
          <w:szCs w:val="21"/>
        </w:rPr>
        <w:t>24《钢筋混凝土用钢第</w:t>
      </w:r>
      <w:r>
        <w:rPr>
          <w:rFonts w:ascii="Times New Roman" w:hAnsi="Times New Roman"/>
          <w:color w:val="000000"/>
          <w:szCs w:val="21"/>
        </w:rPr>
        <w:t>2</w:t>
      </w:r>
      <w:r>
        <w:rPr>
          <w:rFonts w:hint="eastAsia" w:ascii="Times New Roman" w:hAnsi="Times New Roman"/>
          <w:color w:val="000000"/>
          <w:szCs w:val="21"/>
        </w:rPr>
        <w:t>部分：热轧带肋钢筋》</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年《大同市建筑用钢筋产品质量监督抽查实施细则》，判定该被抽查产品所检项目未发现不合格。</w:t>
      </w:r>
    </w:p>
    <w:p>
      <w:pPr>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不合格结论用语：经抽样检验，</w:t>
      </w:r>
      <w:r>
        <w:rPr>
          <w:rFonts w:ascii="Times New Roman" w:hAnsi="Times New Roman"/>
          <w:color w:val="000000"/>
          <w:szCs w:val="21"/>
        </w:rPr>
        <w:t>XXX</w:t>
      </w:r>
      <w:r>
        <w:rPr>
          <w:rFonts w:hint="eastAsia" w:ascii="Times New Roman" w:hAnsi="Times New Roman"/>
          <w:color w:val="000000"/>
          <w:szCs w:val="21"/>
        </w:rPr>
        <w:t>项目不符合</w:t>
      </w:r>
      <w:r>
        <w:rPr>
          <w:rFonts w:ascii="Times New Roman" w:hAnsi="Times New Roman"/>
          <w:color w:val="000000"/>
          <w:szCs w:val="21"/>
        </w:rPr>
        <w:t>GB1499.1-20</w:t>
      </w:r>
      <w:r>
        <w:rPr>
          <w:rFonts w:hint="eastAsia" w:ascii="Times New Roman" w:hAnsi="Times New Roman"/>
          <w:color w:val="000000"/>
          <w:szCs w:val="21"/>
        </w:rPr>
        <w:t>24《钢筋混凝土用钢第</w:t>
      </w:r>
      <w:r>
        <w:rPr>
          <w:rFonts w:ascii="Times New Roman" w:hAnsi="Times New Roman"/>
          <w:color w:val="000000"/>
          <w:szCs w:val="21"/>
        </w:rPr>
        <w:t>1</w:t>
      </w:r>
      <w:r>
        <w:rPr>
          <w:rFonts w:hint="eastAsia" w:ascii="Times New Roman" w:hAnsi="Times New Roman"/>
          <w:color w:val="000000"/>
          <w:szCs w:val="21"/>
        </w:rPr>
        <w:t>部分：热轧光圆钢筋》或</w:t>
      </w:r>
      <w:r>
        <w:rPr>
          <w:rFonts w:ascii="Times New Roman" w:hAnsi="Times New Roman"/>
          <w:color w:val="000000"/>
          <w:szCs w:val="21"/>
        </w:rPr>
        <w:t>GB1499.2-20</w:t>
      </w:r>
      <w:r>
        <w:rPr>
          <w:rFonts w:hint="eastAsia" w:ascii="Times New Roman" w:hAnsi="Times New Roman"/>
          <w:color w:val="000000"/>
          <w:szCs w:val="21"/>
        </w:rPr>
        <w:t>24《钢筋混凝土用钢第</w:t>
      </w:r>
      <w:r>
        <w:rPr>
          <w:rFonts w:ascii="Times New Roman" w:hAnsi="Times New Roman"/>
          <w:color w:val="000000"/>
          <w:szCs w:val="21"/>
        </w:rPr>
        <w:t>2</w:t>
      </w:r>
      <w:r>
        <w:rPr>
          <w:rFonts w:hint="eastAsia" w:ascii="Times New Roman" w:hAnsi="Times New Roman"/>
          <w:color w:val="000000"/>
          <w:szCs w:val="21"/>
        </w:rPr>
        <w:t>部分：热轧带肋钢筋》</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年《大同市建筑用钢筋产品质量监督抽查实施细则》，判定该被抽查产品为不合格。</w:t>
      </w:r>
    </w:p>
    <w:p>
      <w:pPr>
        <w:spacing w:line="500" w:lineRule="exact"/>
        <w:ind w:firstLine="562" w:firstLineChars="200"/>
        <w:rPr>
          <w:b/>
          <w:bCs/>
          <w:color w:val="000000"/>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NotTrackMoves/>
  <w:documentProtection w:enforcement="0"/>
  <w:defaultTabStop w:val="420"/>
  <w:drawingGridVerticalSpacing w:val="156"/>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dhNDdjNGJiYzE3YTRjOTY1MjVkNTQ2NDRhZTA1ZmMifQ=="/>
  </w:docVars>
  <w:rsids>
    <w:rsidRoot w:val="31494BC8"/>
    <w:rsid w:val="000812C4"/>
    <w:rsid w:val="000A048D"/>
    <w:rsid w:val="00146885"/>
    <w:rsid w:val="001525E6"/>
    <w:rsid w:val="00203E3F"/>
    <w:rsid w:val="002852D3"/>
    <w:rsid w:val="002D1DCA"/>
    <w:rsid w:val="00341F12"/>
    <w:rsid w:val="004C4599"/>
    <w:rsid w:val="004E3746"/>
    <w:rsid w:val="005A4AB3"/>
    <w:rsid w:val="005F72B2"/>
    <w:rsid w:val="00623638"/>
    <w:rsid w:val="007D70F5"/>
    <w:rsid w:val="008505D9"/>
    <w:rsid w:val="00892862"/>
    <w:rsid w:val="008B37B8"/>
    <w:rsid w:val="0099487D"/>
    <w:rsid w:val="009F6B2A"/>
    <w:rsid w:val="00B03610"/>
    <w:rsid w:val="00BA513C"/>
    <w:rsid w:val="00C75681"/>
    <w:rsid w:val="00CD165B"/>
    <w:rsid w:val="00D7347C"/>
    <w:rsid w:val="00E07980"/>
    <w:rsid w:val="00E709B3"/>
    <w:rsid w:val="00E95779"/>
    <w:rsid w:val="00ED3703"/>
    <w:rsid w:val="00FE01A5"/>
    <w:rsid w:val="01A67C20"/>
    <w:rsid w:val="02427F54"/>
    <w:rsid w:val="08760663"/>
    <w:rsid w:val="0A38456E"/>
    <w:rsid w:val="0CB702BC"/>
    <w:rsid w:val="0CCC29CE"/>
    <w:rsid w:val="0CFB0936"/>
    <w:rsid w:val="0D3E249E"/>
    <w:rsid w:val="0F4405B7"/>
    <w:rsid w:val="1A2226ED"/>
    <w:rsid w:val="1BAE7B52"/>
    <w:rsid w:val="1FD374AB"/>
    <w:rsid w:val="1FE92F31"/>
    <w:rsid w:val="22FC7B04"/>
    <w:rsid w:val="25D54AB7"/>
    <w:rsid w:val="26AA50BD"/>
    <w:rsid w:val="29EA7B6E"/>
    <w:rsid w:val="2A801268"/>
    <w:rsid w:val="2FBE3F4B"/>
    <w:rsid w:val="31494BC8"/>
    <w:rsid w:val="32A777DC"/>
    <w:rsid w:val="342B6470"/>
    <w:rsid w:val="3C5845E2"/>
    <w:rsid w:val="3DDEDC7C"/>
    <w:rsid w:val="3F6A2BFC"/>
    <w:rsid w:val="421E1D44"/>
    <w:rsid w:val="43880F63"/>
    <w:rsid w:val="43FF6DEE"/>
    <w:rsid w:val="48D653EE"/>
    <w:rsid w:val="4CA00072"/>
    <w:rsid w:val="4D0172AE"/>
    <w:rsid w:val="4E8862BB"/>
    <w:rsid w:val="4F0D28B8"/>
    <w:rsid w:val="4F89778F"/>
    <w:rsid w:val="513F7105"/>
    <w:rsid w:val="57E06219"/>
    <w:rsid w:val="57F33A03"/>
    <w:rsid w:val="5B6577FE"/>
    <w:rsid w:val="5D821145"/>
    <w:rsid w:val="5D9E3405"/>
    <w:rsid w:val="64B03820"/>
    <w:rsid w:val="66AC6B56"/>
    <w:rsid w:val="67C1159B"/>
    <w:rsid w:val="68B7181F"/>
    <w:rsid w:val="6A3912D6"/>
    <w:rsid w:val="6B67DCF2"/>
    <w:rsid w:val="6CA67C32"/>
    <w:rsid w:val="6CE1000B"/>
    <w:rsid w:val="70273742"/>
    <w:rsid w:val="71AE0C04"/>
    <w:rsid w:val="72433A20"/>
    <w:rsid w:val="733BC879"/>
    <w:rsid w:val="737722D7"/>
    <w:rsid w:val="75175B20"/>
    <w:rsid w:val="75FE0A8D"/>
    <w:rsid w:val="77195AAA"/>
    <w:rsid w:val="78AD66AF"/>
    <w:rsid w:val="7DD966A8"/>
    <w:rsid w:val="7EFB827C"/>
    <w:rsid w:val="7F201A75"/>
    <w:rsid w:val="7F550F60"/>
    <w:rsid w:val="7F7FE283"/>
    <w:rsid w:val="B9AF29BD"/>
    <w:rsid w:val="BD3F1189"/>
    <w:rsid w:val="D78EB38E"/>
    <w:rsid w:val="DB4FFCB1"/>
    <w:rsid w:val="DF7587D9"/>
    <w:rsid w:val="DFDF8D24"/>
    <w:rsid w:val="E6FCC487"/>
    <w:rsid w:val="EBF6AC0A"/>
    <w:rsid w:val="ECD9089A"/>
    <w:rsid w:val="FBFFDF41"/>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000000"/>
      <w:sz w:val="21"/>
      <w:szCs w:val="21"/>
      <w:u w:val="none"/>
    </w:rPr>
  </w:style>
  <w:style w:type="character" w:styleId="7">
    <w:name w:val="Hyperlink"/>
    <w:basedOn w:val="5"/>
    <w:semiHidden/>
    <w:unhideWhenUsed/>
    <w:qFormat/>
    <w:uiPriority w:val="99"/>
    <w:rPr>
      <w:color w:val="000000"/>
      <w:sz w:val="21"/>
      <w:szCs w:val="21"/>
      <w:u w:val="none"/>
    </w:rPr>
  </w:style>
  <w:style w:type="character" w:customStyle="1" w:styleId="8">
    <w:name w:val="页眉 Char"/>
    <w:basedOn w:val="5"/>
    <w:link w:val="3"/>
    <w:semiHidden/>
    <w:qFormat/>
    <w:uiPriority w:val="99"/>
    <w:rPr>
      <w:rFonts w:ascii="Calibri" w:hAnsi="Calibri"/>
      <w:kern w:val="2"/>
      <w:sz w:val="18"/>
      <w:szCs w:val="18"/>
    </w:rPr>
  </w:style>
  <w:style w:type="character" w:customStyle="1" w:styleId="9">
    <w:name w:val="页脚 Char"/>
    <w:basedOn w:val="5"/>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Pages>
  <Words>1262</Words>
  <Characters>1621</Characters>
  <Lines>12</Lines>
  <Paragraphs>3</Paragraphs>
  <TotalTime>2</TotalTime>
  <ScaleCrop>false</ScaleCrop>
  <LinksUpToDate>false</LinksUpToDate>
  <CharactersWithSpaces>1632</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2021-06-24T10:04:00Z</dcterms:created>
  <dc:creator>行走人间</dc:creator>
  <cp:lastModifiedBy>greatwall</cp:lastModifiedBy>
  <cp:lastPrinted>2026-05-25T17:26:36Z</cp:lastPrinted>
  <dcterms:modified xsi:type="dcterms:W3CDTF">2026-05-25T17:26:43Z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y fmtid="{D5CDD505-2E9C-101B-9397-08002B2CF9AE}" pid="4" name="KSOTemplateDocerSaveRecord">
    <vt:lpwstr>eyJoZGlkIjoiZDYzMmFkOGI1MGEyOWQxMWQzMDU3ZTlkODI2ZTQ0ZjkiLCJ1c2VySWQiOiIyOTA2MzUyNzYifQ==</vt:lpwstr>
  </property>
</Properties>
</file>