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080" w:type="dxa"/>
        <w:jc w:val="center"/>
        <w:tblLayout w:type="fixed"/>
        <w:tblCellMar>
          <w:top w:w="0" w:type="dxa"/>
          <w:left w:w="108" w:type="dxa"/>
          <w:bottom w:w="0" w:type="dxa"/>
          <w:right w:w="108" w:type="dxa"/>
        </w:tblCellMar>
      </w:tblPr>
      <w:tblGrid>
        <w:gridCol w:w="588"/>
        <w:gridCol w:w="980"/>
        <w:gridCol w:w="66"/>
        <w:gridCol w:w="1046"/>
        <w:gridCol w:w="730"/>
        <w:gridCol w:w="673"/>
        <w:gridCol w:w="1595"/>
        <w:gridCol w:w="851"/>
        <w:gridCol w:w="283"/>
        <w:gridCol w:w="284"/>
        <w:gridCol w:w="425"/>
        <w:gridCol w:w="142"/>
        <w:gridCol w:w="709"/>
        <w:gridCol w:w="708"/>
      </w:tblGrid>
      <w:tr>
        <w:tblPrEx>
          <w:tblCellMar>
            <w:top w:w="0" w:type="dxa"/>
            <w:left w:w="108" w:type="dxa"/>
            <w:bottom w:w="0" w:type="dxa"/>
            <w:right w:w="108" w:type="dxa"/>
          </w:tblCellMar>
        </w:tblPrEx>
        <w:trPr>
          <w:trHeight w:val="454" w:hRule="exact"/>
          <w:jc w:val="center"/>
        </w:trPr>
        <w:tc>
          <w:tcPr>
            <w:tcW w:w="9080" w:type="dxa"/>
            <w:gridSpan w:val="14"/>
            <w:tcBorders>
              <w:top w:val="nil"/>
              <w:left w:val="nil"/>
              <w:bottom w:val="nil"/>
              <w:right w:val="nil"/>
            </w:tcBorders>
            <w:noWrap w:val="0"/>
            <w:vAlign w:val="center"/>
          </w:tcPr>
          <w:p>
            <w:pPr>
              <w:keepNext w:val="0"/>
              <w:keepLines w:val="0"/>
              <w:pageBreakBefore w:val="0"/>
              <w:widowControl/>
              <w:kinsoku/>
              <w:wordWrap/>
              <w:overflowPunct/>
              <w:topLinePunct w:val="0"/>
              <w:autoSpaceDE/>
              <w:autoSpaceDN/>
              <w:bidi w:val="0"/>
              <w:adjustRightInd/>
              <w:snapToGrid/>
              <w:spacing w:line="380" w:lineRule="exact"/>
              <w:jc w:val="center"/>
              <w:textAlignment w:val="auto"/>
              <w:rPr>
                <w:rFonts w:ascii="宋体" w:hAnsi="宋体" w:eastAsia="宋体" w:cs="宋体"/>
                <w:b/>
                <w:bCs/>
                <w:kern w:val="0"/>
                <w:sz w:val="32"/>
                <w:szCs w:val="32"/>
              </w:rPr>
            </w:pPr>
            <w:r>
              <w:rPr>
                <w:rFonts w:hint="eastAsia" w:ascii="华文中宋" w:hAnsi="华文中宋" w:eastAsia="华文中宋" w:cs="华文中宋"/>
                <w:b/>
                <w:bCs/>
                <w:kern w:val="0"/>
                <w:sz w:val="36"/>
                <w:szCs w:val="36"/>
              </w:rPr>
              <w:t>项目支出绩效自评表</w:t>
            </w:r>
          </w:p>
        </w:tc>
      </w:tr>
      <w:tr>
        <w:tblPrEx>
          <w:tblCellMar>
            <w:top w:w="0" w:type="dxa"/>
            <w:left w:w="108" w:type="dxa"/>
            <w:bottom w:w="0" w:type="dxa"/>
            <w:right w:w="108" w:type="dxa"/>
          </w:tblCellMar>
        </w:tblPrEx>
        <w:trPr>
          <w:trHeight w:val="201" w:hRule="atLeast"/>
          <w:jc w:val="center"/>
        </w:trPr>
        <w:tc>
          <w:tcPr>
            <w:tcW w:w="9080" w:type="dxa"/>
            <w:gridSpan w:val="14"/>
            <w:tcBorders>
              <w:top w:val="nil"/>
              <w:left w:val="nil"/>
              <w:bottom w:val="nil"/>
              <w:right w:val="nil"/>
            </w:tcBorders>
            <w:noWrap w:val="0"/>
            <w:vAlign w:val="top"/>
          </w:tcPr>
          <w:p>
            <w:pPr>
              <w:widowControl/>
              <w:jc w:val="both"/>
              <w:rPr>
                <w:rFonts w:ascii="宋体" w:hAnsi="宋体" w:eastAsia="宋体" w:cs="宋体"/>
                <w:kern w:val="0"/>
                <w:sz w:val="22"/>
                <w:szCs w:val="22"/>
              </w:rPr>
            </w:pPr>
            <w:r>
              <w:rPr>
                <w:rFonts w:hint="eastAsia" w:ascii="宋体" w:hAnsi="宋体" w:eastAsia="宋体" w:cs="宋体"/>
                <w:kern w:val="0"/>
                <w:sz w:val="22"/>
                <w:szCs w:val="22"/>
              </w:rPr>
              <w:t>填列单位（公章）：</w:t>
            </w:r>
            <w:r>
              <w:rPr>
                <w:rFonts w:hint="eastAsia" w:ascii="宋体" w:hAnsi="宋体" w:eastAsia="宋体" w:cs="宋体"/>
                <w:kern w:val="0"/>
                <w:sz w:val="22"/>
                <w:szCs w:val="22"/>
                <w:lang w:val="en-US" w:eastAsia="zh-CN"/>
              </w:rPr>
              <w:t xml:space="preserve">大同市行政事业单位档案中心             </w:t>
            </w:r>
            <w:r>
              <w:rPr>
                <w:rFonts w:hint="eastAsia" w:ascii="宋体" w:hAnsi="宋体" w:eastAsia="宋体" w:cs="宋体"/>
                <w:kern w:val="0"/>
                <w:sz w:val="22"/>
                <w:szCs w:val="22"/>
              </w:rPr>
              <w:t>（</w:t>
            </w:r>
            <w:r>
              <w:rPr>
                <w:rFonts w:hint="eastAsia" w:ascii="宋体" w:hAnsi="宋体" w:eastAsia="宋体" w:cs="宋体"/>
                <w:kern w:val="0"/>
                <w:sz w:val="22"/>
                <w:szCs w:val="22"/>
                <w:lang w:val="en-US" w:eastAsia="zh-CN"/>
              </w:rPr>
              <w:t>2021</w:t>
            </w:r>
            <w:r>
              <w:rPr>
                <w:rFonts w:hint="eastAsia" w:ascii="宋体" w:hAnsi="宋体" w:eastAsia="宋体" w:cs="宋体"/>
                <w:kern w:val="0"/>
                <w:sz w:val="22"/>
                <w:szCs w:val="22"/>
              </w:rPr>
              <w:t xml:space="preserve"> 年度）</w:t>
            </w:r>
          </w:p>
        </w:tc>
      </w:tr>
      <w:tr>
        <w:tblPrEx>
          <w:tblCellMar>
            <w:top w:w="0" w:type="dxa"/>
            <w:left w:w="108" w:type="dxa"/>
            <w:bottom w:w="0" w:type="dxa"/>
            <w:right w:w="108" w:type="dxa"/>
          </w:tblCellMar>
        </w:tblPrEx>
        <w:trPr>
          <w:trHeight w:val="285"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512" w:type="dxa"/>
            <w:gridSpan w:val="1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22"/>
                <w:szCs w:val="22"/>
                <w:lang w:val="en-US" w:eastAsia="zh-CN"/>
              </w:rPr>
              <w:t>残疾人就业保证金</w:t>
            </w:r>
          </w:p>
        </w:tc>
      </w:tr>
      <w:tr>
        <w:tblPrEx>
          <w:tblCellMar>
            <w:top w:w="0" w:type="dxa"/>
            <w:left w:w="108" w:type="dxa"/>
            <w:bottom w:w="0" w:type="dxa"/>
            <w:right w:w="108" w:type="dxa"/>
          </w:tblCellMar>
        </w:tblPrEx>
        <w:trPr>
          <w:trHeight w:val="520" w:hRule="exact"/>
          <w:jc w:val="center"/>
        </w:trPr>
        <w:tc>
          <w:tcPr>
            <w:tcW w:w="156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110" w:type="dxa"/>
            <w:gridSpan w:val="5"/>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大同市人力资源和社会保障局</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268" w:type="dxa"/>
            <w:gridSpan w:val="5"/>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大同市行政事业单位档案中心</w:t>
            </w:r>
          </w:p>
        </w:tc>
      </w:tr>
      <w:tr>
        <w:tblPrEx>
          <w:tblCellMar>
            <w:top w:w="0" w:type="dxa"/>
            <w:left w:w="108" w:type="dxa"/>
            <w:bottom w:w="0" w:type="dxa"/>
            <w:right w:w="108" w:type="dxa"/>
          </w:tblCellMar>
        </w:tblPrEx>
        <w:trPr>
          <w:trHeight w:val="525" w:hRule="exact"/>
          <w:jc w:val="center"/>
        </w:trPr>
        <w:tc>
          <w:tcPr>
            <w:tcW w:w="1568"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项目资金</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（万元）</w:t>
            </w: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673"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673" w:type="dxa"/>
            <w:tcBorders>
              <w:top w:val="nil"/>
              <w:left w:val="nil"/>
              <w:bottom w:val="single" w:color="auto" w:sz="4" w:space="0"/>
              <w:right w:val="single" w:color="auto" w:sz="4" w:space="0"/>
            </w:tcBorders>
            <w:noWrap w:val="0"/>
            <w:vAlign w:val="center"/>
          </w:tcPr>
          <w:p>
            <w:pPr>
              <w:widowControl/>
              <w:spacing w:line="240" w:lineRule="exact"/>
              <w:jc w:val="both"/>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0.24</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0.24</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0.24</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100%</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r>
      <w:tr>
        <w:tblPrEx>
          <w:tblCellMar>
            <w:top w:w="0" w:type="dxa"/>
            <w:left w:w="108" w:type="dxa"/>
            <w:bottom w:w="0" w:type="dxa"/>
            <w:right w:w="108" w:type="dxa"/>
          </w:tblCellMar>
        </w:tblPrEx>
        <w:trPr>
          <w:trHeight w:val="245"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673"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0.24</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0.24</w:t>
            </w: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0.24</w:t>
            </w: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rPr>
            </w:pPr>
            <w:r>
              <w:rPr>
                <w:rFonts w:hint="eastAsia" w:ascii="宋体" w:hAnsi="宋体" w:eastAsia="宋体" w:cs="宋体"/>
                <w:kern w:val="0"/>
                <w:sz w:val="18"/>
                <w:szCs w:val="18"/>
                <w:lang w:val="en-US" w:eastAsia="zh-CN"/>
              </w:rPr>
              <w:t>10</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100%</w:t>
            </w: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rPr>
            </w:pPr>
            <w:r>
              <w:rPr>
                <w:rFonts w:hint="eastAsia" w:ascii="宋体" w:hAnsi="宋体" w:eastAsia="宋体" w:cs="宋体"/>
                <w:kern w:val="0"/>
                <w:sz w:val="18"/>
                <w:szCs w:val="18"/>
                <w:lang w:val="en-US" w:eastAsia="zh-CN"/>
              </w:rPr>
              <w:t>10</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673"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1568"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842" w:type="dxa"/>
            <w:gridSpan w:val="3"/>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673"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34"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9"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1"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708"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jc w:val="center"/>
        </w:trPr>
        <w:tc>
          <w:tcPr>
            <w:tcW w:w="588"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090" w:type="dxa"/>
            <w:gridSpan w:val="6"/>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602" w:hRule="exact"/>
          <w:jc w:val="center"/>
        </w:trPr>
        <w:tc>
          <w:tcPr>
            <w:tcW w:w="588"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090" w:type="dxa"/>
            <w:gridSpan w:val="6"/>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通过该项目的实施，支持残疾人的就业情况，使残疾人参与社会生活，更好的保障残疾人权益。</w:t>
            </w:r>
          </w:p>
        </w:tc>
        <w:tc>
          <w:tcPr>
            <w:tcW w:w="3402" w:type="dxa"/>
            <w:gridSpan w:val="7"/>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完成</w:t>
            </w:r>
          </w:p>
        </w:tc>
      </w:tr>
      <w:tr>
        <w:tblPrEx>
          <w:tblCellMar>
            <w:top w:w="0" w:type="dxa"/>
            <w:left w:w="108" w:type="dxa"/>
            <w:bottom w:w="0" w:type="dxa"/>
            <w:right w:w="108" w:type="dxa"/>
          </w:tblCellMar>
        </w:tblPrEx>
        <w:trPr>
          <w:trHeight w:val="533" w:hRule="exact"/>
          <w:jc w:val="center"/>
        </w:trPr>
        <w:tc>
          <w:tcPr>
            <w:tcW w:w="588" w:type="dxa"/>
            <w:vMerge w:val="restart"/>
            <w:tcBorders>
              <w:top w:val="nil"/>
              <w:left w:val="single" w:color="auto" w:sz="4" w:space="0"/>
              <w:right w:val="single" w:color="auto" w:sz="4" w:space="0"/>
            </w:tcBorders>
            <w:noWrap w:val="0"/>
            <w:vAlign w:val="center"/>
          </w:tcPr>
          <w:p>
            <w:pPr>
              <w:widowControl/>
              <w:spacing w:line="240" w:lineRule="auto"/>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绩</w:t>
            </w:r>
          </w:p>
          <w:p>
            <w:pPr>
              <w:widowControl/>
              <w:spacing w:line="240" w:lineRule="auto"/>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效</w:t>
            </w:r>
          </w:p>
          <w:p>
            <w:pPr>
              <w:widowControl/>
              <w:spacing w:line="240" w:lineRule="auto"/>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指</w:t>
            </w:r>
          </w:p>
          <w:p>
            <w:pPr>
              <w:widowControl/>
              <w:spacing w:line="240" w:lineRule="auto"/>
              <w:jc w:val="center"/>
              <w:rPr>
                <w:rFonts w:ascii="宋体" w:hAnsi="宋体" w:eastAsia="宋体" w:cs="宋体"/>
                <w:kern w:val="0"/>
                <w:sz w:val="18"/>
                <w:szCs w:val="18"/>
              </w:rPr>
            </w:pPr>
            <w:r>
              <w:rPr>
                <w:rFonts w:hint="eastAsia" w:ascii="宋体" w:hAnsi="宋体" w:eastAsia="宋体" w:cs="宋体"/>
                <w:kern w:val="0"/>
                <w:sz w:val="18"/>
                <w:szCs w:val="18"/>
              </w:rPr>
              <w:t>标</w:t>
            </w:r>
          </w:p>
        </w:tc>
        <w:tc>
          <w:tcPr>
            <w:tcW w:w="980"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1112"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指标值</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tblPrEx>
          <w:tblCellMar>
            <w:top w:w="0" w:type="dxa"/>
            <w:left w:w="108" w:type="dxa"/>
            <w:bottom w:w="0" w:type="dxa"/>
            <w:right w:w="108" w:type="dxa"/>
          </w:tblCellMar>
        </w:tblPrEx>
        <w:trPr>
          <w:trHeight w:val="48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kern w:val="0"/>
                <w:sz w:val="18"/>
                <w:szCs w:val="18"/>
                <w:lang w:val="en-US" w:eastAsia="zh-CN"/>
              </w:rPr>
              <w:t>单位残疾人数</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0人</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0人</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职工人数</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11人</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11人</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2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kern w:val="0"/>
                <w:sz w:val="18"/>
                <w:szCs w:val="18"/>
                <w:lang w:val="en-US" w:eastAsia="zh-CN"/>
              </w:rPr>
              <w:t>日常工作的保障率</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100%</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经费保障率</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100%</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kern w:val="0"/>
                <w:sz w:val="18"/>
                <w:szCs w:val="18"/>
                <w:lang w:val="en-US" w:eastAsia="zh-CN"/>
              </w:rPr>
              <w:t>支付及时性</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及时</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及时</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8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残疾人就业保障金总成本</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0.24万元</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0.24  万元</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经济效益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65"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社会效益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kern w:val="0"/>
                <w:sz w:val="18"/>
                <w:szCs w:val="18"/>
                <w:lang w:val="en-US" w:eastAsia="zh-CN"/>
              </w:rPr>
              <w:t xml:space="preserve">支持有能力的残疾人就业 </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支持</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支持</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15"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p>
            <w:pPr>
              <w:widowControl/>
              <w:spacing w:line="240" w:lineRule="exact"/>
              <w:jc w:val="left"/>
              <w:rPr>
                <w:rFonts w:hint="eastAsia" w:ascii="宋体" w:hAnsi="宋体" w:eastAsia="宋体" w:cs="宋体"/>
                <w:color w:val="000000"/>
                <w:kern w:val="0"/>
                <w:sz w:val="18"/>
                <w:szCs w:val="18"/>
              </w:rPr>
            </w:pP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生态效益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可持续影响指标</w:t>
            </w: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指标1：</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95"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restart"/>
            <w:tcBorders>
              <w:top w:val="nil"/>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满意度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1112" w:type="dxa"/>
            <w:gridSpan w:val="2"/>
            <w:vMerge w:val="restart"/>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kern w:val="0"/>
                <w:sz w:val="18"/>
                <w:szCs w:val="18"/>
                <w:lang w:val="en-US" w:eastAsia="zh-CN"/>
              </w:rPr>
              <w:t>残疾人群满意度</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default" w:ascii="Arial" w:hAnsi="Arial" w:eastAsia="宋体" w:cs="Arial"/>
                <w:kern w:val="0"/>
                <w:sz w:val="18"/>
                <w:szCs w:val="18"/>
                <w:lang w:val="en-US" w:eastAsia="zh-CN"/>
              </w:rPr>
              <w:t>≥</w:t>
            </w:r>
            <w:r>
              <w:rPr>
                <w:rFonts w:hint="eastAsia" w:ascii="宋体" w:hAnsi="宋体" w:eastAsia="宋体" w:cs="宋体"/>
                <w:kern w:val="0"/>
                <w:sz w:val="18"/>
                <w:szCs w:val="18"/>
                <w:lang w:val="en-US" w:eastAsia="zh-CN"/>
              </w:rPr>
              <w:t>99%</w:t>
            </w: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default" w:ascii="Arial" w:hAnsi="Arial" w:eastAsia="宋体" w:cs="Arial"/>
                <w:kern w:val="0"/>
                <w:sz w:val="18"/>
                <w:szCs w:val="18"/>
                <w:lang w:val="en-US" w:eastAsia="zh-CN"/>
              </w:rPr>
              <w:t>≥</w:t>
            </w:r>
            <w:r>
              <w:rPr>
                <w:rFonts w:hint="eastAsia" w:ascii="宋体" w:hAnsi="宋体" w:eastAsia="宋体" w:cs="宋体"/>
                <w:kern w:val="0"/>
                <w:sz w:val="18"/>
                <w:szCs w:val="18"/>
                <w:lang w:val="en-US" w:eastAsia="zh-CN"/>
              </w:rPr>
              <w:t>99%</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kern w:val="0"/>
                <w:sz w:val="18"/>
                <w:szCs w:val="18"/>
                <w:lang w:val="en-US" w:eastAsia="zh-CN"/>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指标2：</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588"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980" w:type="dxa"/>
            <w:vMerge w:val="continue"/>
            <w:tcBorders>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112" w:type="dxa"/>
            <w:gridSpan w:val="2"/>
            <w:vMerge w:val="continue"/>
            <w:tcBorders>
              <w:top w:val="nil"/>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03"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w:t>
            </w:r>
          </w:p>
        </w:tc>
        <w:tc>
          <w:tcPr>
            <w:tcW w:w="1595"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jc w:val="center"/>
        </w:trPr>
        <w:tc>
          <w:tcPr>
            <w:tcW w:w="6529" w:type="dxa"/>
            <w:gridSpan w:val="8"/>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总分</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567" w:type="dxa"/>
            <w:gridSpan w:val="2"/>
            <w:tcBorders>
              <w:top w:val="nil"/>
              <w:left w:val="nil"/>
              <w:bottom w:val="single" w:color="auto" w:sz="4" w:space="0"/>
              <w:right w:val="single" w:color="auto" w:sz="4" w:space="0"/>
            </w:tcBorders>
            <w:noWrap w:val="0"/>
            <w:vAlign w:val="center"/>
          </w:tcPr>
          <w:p>
            <w:pPr>
              <w:widowControl/>
              <w:spacing w:line="240" w:lineRule="exact"/>
              <w:jc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c>
          <w:tcPr>
            <w:tcW w:w="1417" w:type="dxa"/>
            <w:gridSpan w:val="2"/>
            <w:tcBorders>
              <w:top w:val="single" w:color="auto" w:sz="4" w:space="0"/>
              <w:left w:val="nil"/>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1190" w:hRule="atLeast"/>
          <w:jc w:val="center"/>
        </w:trPr>
        <w:tc>
          <w:tcPr>
            <w:tcW w:w="58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项目绩效分析</w:t>
            </w:r>
          </w:p>
        </w:tc>
        <w:tc>
          <w:tcPr>
            <w:tcW w:w="104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自评结果分析</w:t>
            </w: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项目实施和预算执行情况及分析</w:t>
            </w:r>
          </w:p>
        </w:tc>
        <w:tc>
          <w:tcPr>
            <w:tcW w:w="6400" w:type="dxa"/>
            <w:gridSpan w:val="10"/>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bottom"/>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color w:val="auto"/>
                <w:kern w:val="0"/>
                <w:sz w:val="18"/>
                <w:szCs w:val="18"/>
                <w:lang w:val="en-US" w:eastAsia="zh-CN"/>
              </w:rPr>
              <w:t>通过对残保金的使用，更好的保障残疾人就业，使有能力的残疾人实现就业，参与社会活动，更好的保障残疾人权益，</w:t>
            </w:r>
            <w:bookmarkStart w:id="0" w:name="_GoBack"/>
            <w:bookmarkEnd w:id="0"/>
            <w:r>
              <w:rPr>
                <w:rFonts w:hint="eastAsia" w:ascii="宋体" w:hAnsi="宋体" w:eastAsia="宋体" w:cs="宋体"/>
                <w:color w:val="auto"/>
                <w:kern w:val="0"/>
                <w:sz w:val="18"/>
                <w:szCs w:val="18"/>
                <w:lang w:val="en-US" w:eastAsia="zh-CN"/>
              </w:rPr>
              <w:t>残保金的执行率为100%。</w:t>
            </w:r>
          </w:p>
        </w:tc>
      </w:tr>
      <w:tr>
        <w:tblPrEx>
          <w:tblCellMar>
            <w:top w:w="0" w:type="dxa"/>
            <w:left w:w="108" w:type="dxa"/>
            <w:bottom w:w="0" w:type="dxa"/>
            <w:right w:w="108" w:type="dxa"/>
          </w:tblCellMar>
        </w:tblPrEx>
        <w:trPr>
          <w:trHeight w:val="1045"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产出情况及分析</w:t>
            </w:r>
          </w:p>
        </w:tc>
        <w:tc>
          <w:tcPr>
            <w:tcW w:w="6400" w:type="dxa"/>
            <w:gridSpan w:val="10"/>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auto"/>
                <w:kern w:val="0"/>
                <w:sz w:val="18"/>
                <w:szCs w:val="18"/>
              </w:rPr>
            </w:pPr>
          </w:p>
          <w:p>
            <w:pPr>
              <w:widowControl/>
              <w:spacing w:line="240" w:lineRule="exact"/>
              <w:jc w:val="center"/>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保证残保金及时支付，从而使残保金日常工作保障率达到100%</w:t>
            </w:r>
            <w:r>
              <w:rPr>
                <w:rFonts w:hint="eastAsia" w:ascii="宋体" w:hAnsi="宋体" w:eastAsia="宋体" w:cs="宋体"/>
                <w:color w:val="auto"/>
                <w:kern w:val="0"/>
                <w:sz w:val="18"/>
                <w:szCs w:val="18"/>
                <w:lang w:eastAsia="zh-CN"/>
              </w:rPr>
              <w:t>。</w:t>
            </w:r>
          </w:p>
          <w:p>
            <w:pPr>
              <w:widowControl/>
              <w:spacing w:line="240" w:lineRule="exact"/>
              <w:jc w:val="center"/>
              <w:rPr>
                <w:rFonts w:hint="default" w:ascii="宋体" w:hAnsi="宋体" w:eastAsia="宋体" w:cs="宋体"/>
                <w:color w:val="000000"/>
                <w:kern w:val="0"/>
                <w:sz w:val="18"/>
                <w:szCs w:val="18"/>
                <w:lang w:val="en-US" w:eastAsia="zh-CN"/>
              </w:rPr>
            </w:pPr>
          </w:p>
        </w:tc>
      </w:tr>
      <w:tr>
        <w:tblPrEx>
          <w:tblCellMar>
            <w:top w:w="0" w:type="dxa"/>
            <w:left w:w="108" w:type="dxa"/>
            <w:bottom w:w="0" w:type="dxa"/>
            <w:right w:w="108" w:type="dxa"/>
          </w:tblCellMar>
        </w:tblPrEx>
        <w:trPr>
          <w:trHeight w:val="110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效益情况及分析</w:t>
            </w:r>
          </w:p>
        </w:tc>
        <w:tc>
          <w:tcPr>
            <w:tcW w:w="6400" w:type="dxa"/>
            <w:gridSpan w:val="10"/>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残保金及时支付，给予残疾人资金支持，提高残疾人的满意度，支持有能力的残疾人就业</w:t>
            </w:r>
            <w:r>
              <w:rPr>
                <w:rFonts w:hint="eastAsia" w:ascii="宋体" w:hAnsi="宋体" w:eastAsia="宋体" w:cs="宋体"/>
                <w:color w:val="auto"/>
                <w:kern w:val="0"/>
                <w:sz w:val="18"/>
                <w:szCs w:val="18"/>
                <w:lang w:eastAsia="zh-CN"/>
              </w:rPr>
              <w:t>。</w:t>
            </w:r>
          </w:p>
          <w:p>
            <w:pPr>
              <w:widowControl/>
              <w:spacing w:line="240" w:lineRule="exact"/>
              <w:jc w:val="center"/>
              <w:rPr>
                <w:rFonts w:hint="default" w:ascii="宋体" w:hAnsi="宋体" w:eastAsia="宋体" w:cs="宋体"/>
                <w:color w:val="000000"/>
                <w:kern w:val="0"/>
                <w:sz w:val="18"/>
                <w:szCs w:val="18"/>
                <w:lang w:val="en-US" w:eastAsia="zh-CN"/>
              </w:rPr>
            </w:pPr>
          </w:p>
        </w:tc>
      </w:tr>
      <w:tr>
        <w:tblPrEx>
          <w:tblCellMar>
            <w:top w:w="0" w:type="dxa"/>
            <w:left w:w="108" w:type="dxa"/>
            <w:bottom w:w="0" w:type="dxa"/>
            <w:right w:w="108" w:type="dxa"/>
          </w:tblCellMar>
        </w:tblPrEx>
        <w:trPr>
          <w:trHeight w:val="890" w:hRule="atLeas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104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p>
        </w:tc>
        <w:tc>
          <w:tcPr>
            <w:tcW w:w="10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满意度情况及分析</w:t>
            </w:r>
          </w:p>
        </w:tc>
        <w:tc>
          <w:tcPr>
            <w:tcW w:w="6400" w:type="dxa"/>
            <w:gridSpan w:val="10"/>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lang w:val="en-US" w:eastAsia="zh-CN"/>
              </w:rPr>
              <w:t>残保金及时支付，给予残疾人资金支持，提高残疾人的满意度，支持有能力的残疾人就业。</w:t>
            </w:r>
          </w:p>
        </w:tc>
      </w:tr>
      <w:tr>
        <w:tblPrEx>
          <w:tblCellMar>
            <w:top w:w="0" w:type="dxa"/>
            <w:left w:w="108" w:type="dxa"/>
            <w:bottom w:w="0" w:type="dxa"/>
            <w:right w:w="108" w:type="dxa"/>
          </w:tblCellMar>
        </w:tblPrEx>
        <w:trPr>
          <w:trHeight w:val="224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主要经验做法</w:t>
            </w:r>
          </w:p>
        </w:tc>
        <w:tc>
          <w:tcPr>
            <w:tcW w:w="6400" w:type="dxa"/>
            <w:gridSpan w:val="10"/>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auto"/>
                <w:kern w:val="0"/>
                <w:sz w:val="18"/>
                <w:szCs w:val="18"/>
                <w:lang w:eastAsia="zh-CN"/>
              </w:rPr>
            </w:pPr>
            <w:r>
              <w:rPr>
                <w:rFonts w:hint="eastAsia" w:ascii="宋体" w:hAnsi="宋体" w:eastAsia="宋体" w:cs="宋体"/>
                <w:color w:val="auto"/>
                <w:kern w:val="0"/>
                <w:sz w:val="18"/>
                <w:szCs w:val="18"/>
              </w:rPr>
              <w:t xml:space="preserve"> 残疾人就业保障金，是指在实施分散按比例安排残疾人就业的地区，凡安排残疾人达不到省、自治区、直辖市人民政府规定比例的机关、团体、企业、事业单位和城乡集体经济组织，根据地方相关法规的规定，按照年度差额人数和上年度本地区职工年平均工资计算交纳用于残疾人就业的专项资金。因此，每年都会及时支付残保金，用于保障有能力的残疾人积极就业</w:t>
            </w:r>
            <w:r>
              <w:rPr>
                <w:rFonts w:hint="eastAsia" w:ascii="宋体" w:hAnsi="宋体" w:eastAsia="宋体" w:cs="宋体"/>
                <w:color w:val="auto"/>
                <w:kern w:val="0"/>
                <w:sz w:val="18"/>
                <w:szCs w:val="18"/>
                <w:lang w:eastAsia="zh-CN"/>
              </w:rPr>
              <w:t>。</w:t>
            </w:r>
          </w:p>
          <w:p>
            <w:pPr>
              <w:widowControl/>
              <w:spacing w:line="240" w:lineRule="exact"/>
              <w:jc w:val="center"/>
              <w:rPr>
                <w:rFonts w:hint="default" w:ascii="宋体" w:hAnsi="宋体" w:eastAsia="宋体" w:cs="宋体"/>
                <w:kern w:val="0"/>
                <w:sz w:val="18"/>
                <w:szCs w:val="18"/>
                <w:lang w:val="en-US" w:eastAsia="zh-CN"/>
              </w:rPr>
            </w:pPr>
          </w:p>
        </w:tc>
      </w:tr>
      <w:tr>
        <w:tblPrEx>
          <w:tblCellMar>
            <w:top w:w="0" w:type="dxa"/>
            <w:left w:w="108" w:type="dxa"/>
            <w:bottom w:w="0" w:type="dxa"/>
            <w:right w:w="108" w:type="dxa"/>
          </w:tblCellMar>
        </w:tblPrEx>
        <w:trPr>
          <w:trHeight w:val="490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项目管理中存在的</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主要问题及原因分析</w:t>
            </w:r>
          </w:p>
        </w:tc>
        <w:tc>
          <w:tcPr>
            <w:tcW w:w="6400" w:type="dxa"/>
            <w:gridSpan w:val="10"/>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020" w:hRule="exact"/>
          <w:jc w:val="center"/>
        </w:trPr>
        <w:tc>
          <w:tcPr>
            <w:tcW w:w="58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rPr>
            </w:pPr>
          </w:p>
        </w:tc>
        <w:tc>
          <w:tcPr>
            <w:tcW w:w="2092" w:type="dxa"/>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下一步改进措施及</w:t>
            </w:r>
          </w:p>
          <w:p>
            <w:pPr>
              <w:widowControl/>
              <w:spacing w:line="240" w:lineRule="exact"/>
              <w:jc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eastAsia="zh-CN"/>
              </w:rPr>
              <w:t>管理建议</w:t>
            </w:r>
          </w:p>
        </w:tc>
        <w:tc>
          <w:tcPr>
            <w:tcW w:w="6400" w:type="dxa"/>
            <w:gridSpan w:val="10"/>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宋体" w:hAnsi="宋体" w:eastAsia="宋体" w:cs="宋体"/>
                <w:color w:val="auto"/>
                <w:kern w:val="0"/>
                <w:sz w:val="18"/>
                <w:szCs w:val="18"/>
              </w:rPr>
            </w:pPr>
          </w:p>
          <w:p>
            <w:pPr>
              <w:widowControl/>
              <w:spacing w:line="240" w:lineRule="exact"/>
              <w:jc w:val="center"/>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继续加强对残保金的使用，及时支付，保障残疾人工作有序开展，提高残疾人满意度，积极承担社会责任。</w:t>
            </w:r>
          </w:p>
          <w:p>
            <w:pPr>
              <w:widowControl/>
              <w:spacing w:line="240" w:lineRule="exact"/>
              <w:jc w:val="center"/>
              <w:rPr>
                <w:rFonts w:hint="default" w:ascii="宋体" w:hAnsi="宋体" w:eastAsia="宋体" w:cs="宋体"/>
                <w:kern w:val="0"/>
                <w:sz w:val="18"/>
                <w:szCs w:val="18"/>
                <w:lang w:val="en-US" w:eastAsia="zh-CN"/>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kNmQzNTI0ZjQyYWY4NDI0ODQ4MjFlYTcyZDRiNjIifQ=="/>
  </w:docVars>
  <w:rsids>
    <w:rsidRoot w:val="66AD6379"/>
    <w:rsid w:val="1A3B73DF"/>
    <w:rsid w:val="22A86397"/>
    <w:rsid w:val="309F7847"/>
    <w:rsid w:val="66AD6379"/>
    <w:rsid w:val="68176531"/>
    <w:rsid w:val="6B3F1822"/>
    <w:rsid w:val="733867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935</Words>
  <Characters>1014</Characters>
  <Lines>0</Lines>
  <Paragraphs>0</Paragraphs>
  <TotalTime>319</TotalTime>
  <ScaleCrop>false</ScaleCrop>
  <LinksUpToDate>false</LinksUpToDate>
  <CharactersWithSpaces>1040</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2022-02-24T00:37:00Z</dcterms:created>
  <dc:creator>。。。。</dc:creator>
  <cp:lastModifiedBy>。。。。</cp:lastModifiedBy>
  <cp:lastPrinted>2022-03-11T00:52:00Z</cp:lastPrinted>
  <dcterms:modified xsi:type="dcterms:W3CDTF">2022-07-28T09:08:55Z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EBE2500AD79F4314AD6806766DB8784A</vt:lpwstr>
  </property>
</Properties>
</file>