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宋体" w:hAnsi="宋体" w:eastAsia="宋体" w:cs="Times New Roman"/>
          <w:kern w:val="2"/>
          <w:sz w:val="21"/>
          <w:szCs w:val="24"/>
          <w:lang w:val="en-US" w:eastAsia="zh-CN" w:bidi="ar-SA"/>
        </w:rPr>
        <w:id w:val="147464826"/>
        <w15:color w:val="DBDBDB"/>
        <w:docPartObj>
          <w:docPartGallery w:val="Table of Contents"/>
          <w:docPartUnique/>
        </w:docPartObj>
      </w:sdtPr>
      <w:sdtEndPr>
        <w:rPr>
          <w:rFonts w:hint="eastAsia" w:ascii="宋体" w:hAnsi="宋体" w:eastAsia="宋体" w:cs="Times New Roman"/>
          <w:b/>
          <w:color w:val="000000"/>
          <w:kern w:val="2"/>
          <w:sz w:val="21"/>
          <w:szCs w:val="44"/>
          <w:lang w:val="en-US" w:eastAsia="zh-CN" w:bidi="ar-SA"/>
        </w:rPr>
      </w:sdtEndPr>
      <w:sdtContent>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ascii="宋体" w:hAnsi="宋体" w:eastAsia="宋体" w:cs="Times New Roman"/>
              <w:kern w:val="2"/>
              <w:sz w:val="21"/>
              <w:szCs w:val="24"/>
              <w:lang w:val="en-US" w:eastAsia="zh-CN" w:bidi="ar-SA"/>
            </w:rPr>
          </w:pPr>
        </w:p>
        <w:p>
          <w:pPr>
            <w:bidi w:val="0"/>
            <w:rPr>
              <w:rFonts w:ascii="Times New Roman" w:hAnsi="Times New Roman" w:eastAsia="宋体" w:cs="Times New Roman"/>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bidi w:val="0"/>
            <w:rPr>
              <w:lang w:val="en-US" w:eastAsia="zh-CN"/>
            </w:rPr>
          </w:pP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r>
            <w:rPr>
              <w:rFonts w:hint="eastAsia"/>
              <w:lang w:val="en-US" w:eastAsia="zh-CN"/>
            </w:rPr>
            <w:tab/>
          </w:r>
          <w:r>
            <w:rPr>
              <w:rFonts w:ascii="华文中宋" w:hAnsi="华文中宋" w:eastAsia="华文中宋" w:cs="华文中宋"/>
              <w:color w:val="000000"/>
              <w:kern w:val="0"/>
              <w:sz w:val="40"/>
              <w:szCs w:val="40"/>
              <w:lang w:val="en-US" w:eastAsia="zh-CN" w:bidi="ar"/>
            </w:rPr>
            <w:t>大 同 市 第 二 看 守 所</w:t>
          </w:r>
        </w:p>
        <w:p>
          <w:pPr>
            <w:keepNext w:val="0"/>
            <w:keepLines w:val="0"/>
            <w:widowControl/>
            <w:suppressLineNumbers w:val="0"/>
            <w:jc w:val="center"/>
            <w:rPr>
              <w:rFonts w:ascii="华文中宋" w:hAnsi="华文中宋" w:eastAsia="华文中宋" w:cs="华文中宋"/>
              <w:color w:val="000000"/>
              <w:kern w:val="0"/>
              <w:sz w:val="40"/>
              <w:szCs w:val="40"/>
              <w:lang w:val="en-US" w:eastAsia="zh-CN" w:bidi="ar"/>
            </w:rPr>
          </w:pPr>
        </w:p>
        <w:p>
          <w:pPr>
            <w:spacing w:before="112"/>
            <w:ind w:left="110" w:firstLine="2000" w:firstLineChars="500"/>
            <w:rPr>
              <w:rFonts w:hint="default" w:ascii="仿宋" w:eastAsia="仿宋"/>
              <w:b w:val="0"/>
              <w:bCs w:val="0"/>
              <w:spacing w:val="-2"/>
              <w:sz w:val="28"/>
              <w:szCs w:val="24"/>
              <w:lang w:val="en-US" w:eastAsia="zh-CN"/>
            </w:rPr>
          </w:pPr>
          <w:r>
            <w:rPr>
              <w:rFonts w:hint="eastAsia" w:ascii="华文中宋" w:hAnsi="华文中宋" w:eastAsia="华文中宋" w:cs="华文中宋"/>
              <w:color w:val="000000"/>
              <w:kern w:val="0"/>
              <w:sz w:val="40"/>
              <w:szCs w:val="40"/>
              <w:lang w:val="en-US" w:eastAsia="zh-CN" w:bidi="ar"/>
            </w:rPr>
            <w:t>2 0 2 1年 度 单 位 决 算 公 开</w:t>
          </w:r>
        </w:p>
        <w:p>
          <w:pPr>
            <w:tabs>
              <w:tab w:val="left" w:pos="3111"/>
            </w:tabs>
            <w:bidi w:val="0"/>
            <w:jc w:val="left"/>
            <w:rPr>
              <w:lang w:val="en-US" w:eastAsia="zh-CN"/>
            </w:rPr>
            <w:sectPr>
              <w:pgSz w:w="11906" w:h="16838"/>
              <w:pgMar w:top="1134" w:right="1020" w:bottom="1440" w:left="1020" w:header="851" w:footer="992" w:gutter="0"/>
              <w:cols w:space="0" w:num="1"/>
              <w:rtlGutter w:val="0"/>
              <w:docGrid w:type="lines" w:linePitch="312" w:charSpace="0"/>
            </w:sectPr>
          </w:pPr>
        </w:p>
        <w:p>
          <w:pPr>
            <w:keepNext w:val="0"/>
            <w:keepLines w:val="0"/>
            <w:pageBreakBefore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eastAsia" w:ascii="黑体" w:hAnsi="黑体" w:eastAsia="黑体" w:cs="黑体"/>
              <w:sz w:val="44"/>
              <w:szCs w:val="44"/>
            </w:rPr>
          </w:pPr>
          <w:r>
            <w:rPr>
              <w:rFonts w:hint="eastAsia" w:ascii="黑体" w:hAnsi="黑体" w:eastAsia="黑体" w:cs="黑体"/>
              <w:sz w:val="44"/>
              <w:szCs w:val="44"/>
            </w:rPr>
            <w:t>目录</w:t>
          </w:r>
        </w:p>
        <w:p>
          <w:pPr>
            <w:pStyle w:val="11"/>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color w:val="000000"/>
              <w:sz w:val="28"/>
              <w:szCs w:val="28"/>
            </w:rPr>
            <w:fldChar w:fldCharType="begin"/>
          </w:r>
          <w:r>
            <w:rPr>
              <w:rFonts w:hint="eastAsia" w:ascii="宋体" w:hAnsi="宋体" w:eastAsia="宋体" w:cs="宋体"/>
              <w:b/>
              <w:color w:val="000000"/>
              <w:sz w:val="28"/>
              <w:szCs w:val="28"/>
            </w:rPr>
            <w:instrText xml:space="preserve">TOC \o "1-2" \h \u </w:instrText>
          </w:r>
          <w:r>
            <w:rPr>
              <w:rFonts w:hint="eastAsia" w:ascii="宋体" w:hAnsi="宋体" w:eastAsia="宋体" w:cs="宋体"/>
              <w:b/>
              <w:color w:val="000000"/>
              <w:sz w:val="28"/>
              <w:szCs w:val="28"/>
            </w:rPr>
            <w:fldChar w:fldCharType="separate"/>
          </w:r>
          <w:r>
            <w:rPr>
              <w:rFonts w:hint="eastAsia" w:ascii="黑体" w:hAnsi="黑体" w:eastAsia="黑体" w:cs="黑体"/>
              <w:b w:val="0"/>
              <w:bCs/>
              <w:color w:val="000000"/>
              <w:sz w:val="28"/>
              <w:szCs w:val="28"/>
            </w:rPr>
            <w:fldChar w:fldCharType="begin"/>
          </w:r>
          <w:r>
            <w:rPr>
              <w:rFonts w:hint="eastAsia" w:ascii="黑体" w:hAnsi="黑体" w:eastAsia="黑体" w:cs="黑体"/>
              <w:b w:val="0"/>
              <w:bCs/>
              <w:sz w:val="28"/>
              <w:szCs w:val="28"/>
            </w:rPr>
            <w:instrText xml:space="preserve"> HYPERLINK \l _Toc3936 </w:instrText>
          </w:r>
          <w:r>
            <w:rPr>
              <w:rFonts w:hint="eastAsia" w:ascii="黑体" w:hAnsi="黑体" w:eastAsia="黑体" w:cs="黑体"/>
              <w:b w:val="0"/>
              <w:bCs/>
              <w:sz w:val="28"/>
              <w:szCs w:val="28"/>
            </w:rPr>
            <w:fldChar w:fldCharType="separate"/>
          </w:r>
          <w:r>
            <w:rPr>
              <w:rFonts w:hint="eastAsia" w:ascii="黑体" w:hAnsi="黑体" w:eastAsia="黑体" w:cs="黑体"/>
              <w:b w:val="0"/>
              <w:bCs/>
              <w:sz w:val="28"/>
              <w:szCs w:val="28"/>
              <w:lang w:val="en-US" w:eastAsia="zh-CN"/>
            </w:rPr>
            <w:t>第一部分 概况</w:t>
          </w:r>
          <w:r>
            <w:rPr>
              <w:rFonts w:hint="eastAsia" w:ascii="黑体" w:hAnsi="黑体" w:eastAsia="黑体" w:cs="黑体"/>
              <w:b w:val="0"/>
              <w:bCs/>
              <w:sz w:val="28"/>
              <w:szCs w:val="28"/>
            </w:rPr>
            <w:tab/>
          </w:r>
          <w:r>
            <w:rPr>
              <w:rFonts w:hint="eastAsia" w:ascii="黑体" w:hAnsi="黑体" w:eastAsia="黑体" w:cs="黑体"/>
              <w:b w:val="0"/>
              <w:bCs/>
              <w:sz w:val="28"/>
              <w:szCs w:val="28"/>
            </w:rPr>
            <w:fldChar w:fldCharType="begin"/>
          </w:r>
          <w:r>
            <w:rPr>
              <w:rFonts w:hint="eastAsia" w:ascii="黑体" w:hAnsi="黑体" w:eastAsia="黑体" w:cs="黑体"/>
              <w:b w:val="0"/>
              <w:bCs/>
              <w:sz w:val="28"/>
              <w:szCs w:val="28"/>
            </w:rPr>
            <w:instrText xml:space="preserve"> PAGEREF _Toc3936 \h </w:instrText>
          </w:r>
          <w:r>
            <w:rPr>
              <w:rFonts w:hint="eastAsia" w:ascii="黑体" w:hAnsi="黑体" w:eastAsia="黑体" w:cs="黑体"/>
              <w:b w:val="0"/>
              <w:bCs/>
              <w:sz w:val="28"/>
              <w:szCs w:val="28"/>
            </w:rPr>
            <w:fldChar w:fldCharType="separate"/>
          </w:r>
          <w:r>
            <w:rPr>
              <w:rFonts w:hint="eastAsia" w:ascii="黑体" w:hAnsi="黑体" w:eastAsia="黑体" w:cs="黑体"/>
              <w:b w:val="0"/>
              <w:bCs/>
              <w:sz w:val="28"/>
              <w:szCs w:val="28"/>
            </w:rPr>
            <w:t>1</w:t>
          </w:r>
          <w:r>
            <w:rPr>
              <w:rFonts w:hint="eastAsia" w:ascii="黑体" w:hAnsi="黑体" w:eastAsia="黑体" w:cs="黑体"/>
              <w:b w:val="0"/>
              <w:bCs/>
              <w:sz w:val="28"/>
              <w:szCs w:val="28"/>
            </w:rPr>
            <w:fldChar w:fldCharType="end"/>
          </w:r>
          <w:r>
            <w:rPr>
              <w:rFonts w:hint="eastAsia" w:ascii="黑体" w:hAnsi="黑体" w:eastAsia="黑体" w:cs="黑体"/>
              <w:b w:val="0"/>
              <w:bCs/>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_Toc19314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一、本部门（单位）职责</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_Toc19314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_Toc8059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二、机构设置情况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_Toc8059 \h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1"/>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color w:val="000000"/>
              <w:sz w:val="28"/>
              <w:szCs w:val="28"/>
            </w:rPr>
            <w:fldChar w:fldCharType="begin"/>
          </w:r>
          <w:r>
            <w:rPr>
              <w:rFonts w:hint="eastAsia" w:ascii="宋体" w:hAnsi="宋体" w:eastAsia="宋体" w:cs="宋体"/>
              <w:b/>
              <w:sz w:val="28"/>
              <w:szCs w:val="28"/>
            </w:rPr>
            <w:instrText xml:space="preserve"> HYPERLINK \l _Toc14040 </w:instrText>
          </w:r>
          <w:r>
            <w:rPr>
              <w:rFonts w:hint="eastAsia" w:ascii="宋体" w:hAnsi="宋体" w:eastAsia="宋体" w:cs="宋体"/>
              <w:b/>
              <w:sz w:val="28"/>
              <w:szCs w:val="28"/>
            </w:rPr>
            <w:fldChar w:fldCharType="separate"/>
          </w:r>
          <w:r>
            <w:rPr>
              <w:rFonts w:hint="eastAsia" w:ascii="黑体" w:hAnsi="黑体" w:eastAsia="黑体" w:cs="黑体"/>
              <w:b w:val="0"/>
              <w:bCs/>
              <w:sz w:val="28"/>
              <w:szCs w:val="28"/>
              <w:lang w:val="en-US" w:eastAsia="zh-CN"/>
            </w:rPr>
            <w:t>第二部分  2022年度部门决算报表</w:t>
          </w:r>
          <w:r>
            <w:rPr>
              <w:rFonts w:hint="eastAsia" w:ascii="宋体" w:hAnsi="宋体" w:eastAsia="宋体" w:cs="宋体"/>
              <w:b/>
              <w:sz w:val="28"/>
              <w:szCs w:val="28"/>
            </w:rPr>
            <w:tab/>
          </w:r>
          <w:r>
            <w:rPr>
              <w:rFonts w:hint="eastAsia" w:ascii="宋体" w:hAnsi="宋体" w:eastAsia="宋体" w:cs="宋体"/>
              <w:b/>
              <w:sz w:val="28"/>
              <w:szCs w:val="28"/>
            </w:rPr>
            <w:fldChar w:fldCharType="begin"/>
          </w:r>
          <w:r>
            <w:rPr>
              <w:rFonts w:hint="eastAsia" w:ascii="宋体" w:hAnsi="宋体" w:eastAsia="宋体" w:cs="宋体"/>
              <w:b/>
              <w:sz w:val="28"/>
              <w:szCs w:val="28"/>
            </w:rPr>
            <w:instrText xml:space="preserve"> PAGEREF _Toc14040 \h </w:instrText>
          </w:r>
          <w:r>
            <w:rPr>
              <w:rFonts w:hint="eastAsia" w:ascii="宋体" w:hAnsi="宋体" w:eastAsia="宋体" w:cs="宋体"/>
              <w:b/>
              <w:sz w:val="28"/>
              <w:szCs w:val="28"/>
            </w:rPr>
            <w:fldChar w:fldCharType="separate"/>
          </w:r>
          <w:r>
            <w:rPr>
              <w:rFonts w:hint="eastAsia" w:ascii="宋体" w:hAnsi="宋体" w:eastAsia="宋体" w:cs="宋体"/>
              <w:b/>
              <w:sz w:val="28"/>
              <w:szCs w:val="28"/>
            </w:rPr>
            <w:t>2</w:t>
          </w:r>
          <w:r>
            <w:rPr>
              <w:rFonts w:hint="eastAsia" w:ascii="宋体" w:hAnsi="宋体" w:eastAsia="宋体" w:cs="宋体"/>
              <w:b/>
              <w:sz w:val="28"/>
              <w:szCs w:val="28"/>
            </w:rPr>
            <w:fldChar w:fldCharType="end"/>
          </w:r>
          <w:r>
            <w:rPr>
              <w:rFonts w:hint="eastAsia" w:ascii="宋体" w:hAnsi="宋体" w:eastAsia="宋体" w:cs="宋体"/>
              <w:b/>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一、</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_Toc29128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_Toc29128 \h </w:instrText>
          </w:r>
          <w:r>
            <w:rPr>
              <w:rFonts w:hint="eastAsia" w:ascii="仿宋" w:hAnsi="仿宋" w:eastAsia="仿宋" w:cs="仿宋"/>
              <w:sz w:val="28"/>
              <w:szCs w:val="28"/>
            </w:rPr>
            <w:fldChar w:fldCharType="separate"/>
          </w:r>
          <w:r>
            <w:rPr>
              <w:rFonts w:hint="eastAsia" w:ascii="仿宋" w:hAnsi="仿宋" w:eastAsia="仿宋" w:cs="仿宋"/>
              <w:sz w:val="28"/>
              <w:szCs w:val="28"/>
            </w:rPr>
            <w:t>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二、</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_Toc19346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收入决算表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_Toc19346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三、</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_Toc13655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_Toc13655 \h </w:instrText>
          </w:r>
          <w:r>
            <w:rPr>
              <w:rFonts w:hint="eastAsia" w:ascii="仿宋" w:hAnsi="仿宋" w:eastAsia="仿宋" w:cs="仿宋"/>
              <w:sz w:val="28"/>
              <w:szCs w:val="28"/>
            </w:rPr>
            <w:fldChar w:fldCharType="separate"/>
          </w:r>
          <w:r>
            <w:rPr>
              <w:rFonts w:hint="eastAsia" w:ascii="仿宋" w:hAnsi="仿宋" w:eastAsia="仿宋" w:cs="仿宋"/>
              <w:sz w:val="28"/>
              <w:szCs w:val="28"/>
            </w:rPr>
            <w:t>4</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四、</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_Toc3528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财政拨款收入支出决算总表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_Toc3528 \h </w:instrText>
          </w:r>
          <w:r>
            <w:rPr>
              <w:rFonts w:hint="eastAsia" w:ascii="仿宋" w:hAnsi="仿宋" w:eastAsia="仿宋" w:cs="仿宋"/>
              <w:sz w:val="28"/>
              <w:szCs w:val="28"/>
            </w:rPr>
            <w:fldChar w:fldCharType="separate"/>
          </w:r>
          <w:r>
            <w:rPr>
              <w:rFonts w:hint="eastAsia" w:ascii="仿宋" w:hAnsi="仿宋" w:eastAsia="仿宋" w:cs="仿宋"/>
              <w:sz w:val="28"/>
              <w:szCs w:val="28"/>
            </w:rPr>
            <w:t>5</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五、</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_Toc4515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一般公共预算财政拨款支出决算表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_Toc4515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六、</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_Toc13113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一般公共预算财政拨款基本支出决算表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_Toc13113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七、</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_Toc2289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一般公共预算财政拨款“三公”经费支出决算表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_Toc2289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八、</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_Toc21136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政府性基金预算财政拨款收入支出决算表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_Toc21136 \h </w:instrText>
          </w:r>
          <w:r>
            <w:rPr>
              <w:rFonts w:hint="eastAsia" w:ascii="仿宋" w:hAnsi="仿宋" w:eastAsia="仿宋" w:cs="仿宋"/>
              <w:sz w:val="28"/>
              <w:szCs w:val="28"/>
            </w:rPr>
            <w:fldChar w:fldCharType="separate"/>
          </w:r>
          <w:r>
            <w:rPr>
              <w:rFonts w:hint="eastAsia" w:ascii="仿宋" w:hAnsi="仿宋" w:eastAsia="仿宋" w:cs="仿宋"/>
              <w:sz w:val="28"/>
              <w:szCs w:val="28"/>
            </w:rPr>
            <w:t>13</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lang w:val="en-US" w:eastAsia="zh-CN"/>
            </w:rPr>
            <w:t>九、</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_Toc26321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国有资本经营预算财政拨款支出决算表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_Toc26321 \h </w:instrText>
          </w:r>
          <w:r>
            <w:rPr>
              <w:rFonts w:hint="eastAsia" w:ascii="仿宋" w:hAnsi="仿宋" w:eastAsia="仿宋" w:cs="仿宋"/>
              <w:sz w:val="28"/>
              <w:szCs w:val="28"/>
            </w:rPr>
            <w:fldChar w:fldCharType="separate"/>
          </w:r>
          <w:r>
            <w:rPr>
              <w:rFonts w:hint="eastAsia" w:ascii="仿宋" w:hAnsi="仿宋" w:eastAsia="仿宋" w:cs="仿宋"/>
              <w:sz w:val="28"/>
              <w:szCs w:val="28"/>
            </w:rPr>
            <w:t>14</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仿宋" w:hAnsi="仿宋" w:eastAsia="仿宋" w:cs="仿宋"/>
              <w:color w:val="000000"/>
              <w:sz w:val="28"/>
              <w:szCs w:val="28"/>
              <w:lang w:val="en-US" w:eastAsia="zh-CN"/>
            </w:rPr>
            <w:t>十、</w:t>
          </w: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_Toc8801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部门决算公开相关信息统计表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_Toc8801 \h </w:instrText>
          </w:r>
          <w:r>
            <w:rPr>
              <w:rFonts w:hint="eastAsia" w:ascii="仿宋" w:hAnsi="仿宋" w:eastAsia="仿宋" w:cs="仿宋"/>
              <w:sz w:val="28"/>
              <w:szCs w:val="28"/>
            </w:rPr>
            <w:fldChar w:fldCharType="separate"/>
          </w:r>
          <w:r>
            <w:rPr>
              <w:rFonts w:hint="eastAsia" w:ascii="仿宋" w:hAnsi="仿宋" w:eastAsia="仿宋" w:cs="仿宋"/>
              <w:sz w:val="28"/>
              <w:szCs w:val="28"/>
            </w:rPr>
            <w:t>15</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1"/>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color w:val="000000"/>
              <w:sz w:val="28"/>
              <w:szCs w:val="28"/>
            </w:rPr>
            <w:fldChar w:fldCharType="begin"/>
          </w:r>
          <w:r>
            <w:rPr>
              <w:rFonts w:hint="eastAsia" w:ascii="宋体" w:hAnsi="宋体" w:eastAsia="宋体" w:cs="宋体"/>
              <w:b/>
              <w:sz w:val="28"/>
              <w:szCs w:val="28"/>
            </w:rPr>
            <w:instrText xml:space="preserve"> HYPERLINK \l _Toc25512 </w:instrText>
          </w:r>
          <w:r>
            <w:rPr>
              <w:rFonts w:hint="eastAsia" w:ascii="宋体" w:hAnsi="宋体" w:eastAsia="宋体" w:cs="宋体"/>
              <w:b/>
              <w:sz w:val="28"/>
              <w:szCs w:val="28"/>
            </w:rPr>
            <w:fldChar w:fldCharType="separate"/>
          </w:r>
          <w:r>
            <w:rPr>
              <w:rFonts w:hint="eastAsia" w:ascii="黑体" w:hAnsi="黑体" w:eastAsia="黑体" w:cs="黑体"/>
              <w:b w:val="0"/>
              <w:bCs/>
              <w:sz w:val="28"/>
              <w:szCs w:val="28"/>
              <w:lang w:val="en-US" w:eastAsia="zh-CN"/>
            </w:rPr>
            <w:t>第三部分   2021年部门决算情况说明</w:t>
          </w:r>
          <w:r>
            <w:rPr>
              <w:rFonts w:hint="eastAsia" w:ascii="宋体" w:hAnsi="宋体" w:eastAsia="宋体" w:cs="宋体"/>
              <w:b/>
              <w:sz w:val="28"/>
              <w:szCs w:val="28"/>
            </w:rPr>
            <w:tab/>
          </w:r>
          <w:r>
            <w:rPr>
              <w:rFonts w:hint="eastAsia" w:ascii="宋体" w:hAnsi="宋体" w:eastAsia="宋体" w:cs="宋体"/>
              <w:b/>
              <w:sz w:val="28"/>
              <w:szCs w:val="28"/>
            </w:rPr>
            <w:fldChar w:fldCharType="begin"/>
          </w:r>
          <w:r>
            <w:rPr>
              <w:rFonts w:hint="eastAsia" w:ascii="宋体" w:hAnsi="宋体" w:eastAsia="宋体" w:cs="宋体"/>
              <w:b/>
              <w:sz w:val="28"/>
              <w:szCs w:val="28"/>
            </w:rPr>
            <w:instrText xml:space="preserve"> PAGEREF _Toc25512 \h </w:instrText>
          </w:r>
          <w:r>
            <w:rPr>
              <w:rFonts w:hint="eastAsia" w:ascii="宋体" w:hAnsi="宋体" w:eastAsia="宋体" w:cs="宋体"/>
              <w:b/>
              <w:sz w:val="28"/>
              <w:szCs w:val="28"/>
            </w:rPr>
            <w:fldChar w:fldCharType="separate"/>
          </w:r>
          <w:r>
            <w:rPr>
              <w:rFonts w:hint="eastAsia" w:ascii="宋体" w:hAnsi="宋体" w:eastAsia="宋体" w:cs="宋体"/>
              <w:b/>
              <w:sz w:val="28"/>
              <w:szCs w:val="28"/>
            </w:rPr>
            <w:t>16</w:t>
          </w:r>
          <w:r>
            <w:rPr>
              <w:rFonts w:hint="eastAsia" w:ascii="宋体" w:hAnsi="宋体" w:eastAsia="宋体" w:cs="宋体"/>
              <w:b/>
              <w:sz w:val="28"/>
              <w:szCs w:val="28"/>
            </w:rPr>
            <w:fldChar w:fldCharType="end"/>
          </w:r>
          <w:r>
            <w:rPr>
              <w:rFonts w:hint="eastAsia" w:ascii="宋体" w:hAnsi="宋体" w:eastAsia="宋体" w:cs="宋体"/>
              <w:b/>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_Toc27931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一、</w:t>
          </w:r>
          <w:r>
            <w:rPr>
              <w:rFonts w:hint="eastAsia" w:ascii="仿宋" w:hAnsi="仿宋" w:eastAsia="仿宋" w:cs="仿宋"/>
              <w:bCs/>
              <w:sz w:val="28"/>
              <w:szCs w:val="28"/>
            </w:rPr>
            <w:t>收</w:t>
          </w:r>
          <w:r>
            <w:rPr>
              <w:rFonts w:hint="eastAsia" w:ascii="仿宋" w:hAnsi="仿宋" w:eastAsia="仿宋" w:cs="仿宋"/>
              <w:bCs/>
              <w:sz w:val="28"/>
              <w:szCs w:val="28"/>
              <w:lang w:val="en-US" w:eastAsia="zh-CN"/>
            </w:rPr>
            <w:t>入支出</w:t>
          </w:r>
          <w:r>
            <w:rPr>
              <w:rFonts w:hint="eastAsia" w:ascii="仿宋" w:hAnsi="仿宋" w:eastAsia="仿宋" w:cs="仿宋"/>
              <w:bCs/>
              <w:sz w:val="28"/>
              <w:szCs w:val="28"/>
            </w:rPr>
            <w:t>决算</w:t>
          </w:r>
          <w:r>
            <w:rPr>
              <w:rFonts w:hint="eastAsia" w:ascii="仿宋" w:hAnsi="仿宋" w:eastAsia="仿宋" w:cs="仿宋"/>
              <w:bCs/>
              <w:sz w:val="28"/>
              <w:szCs w:val="28"/>
              <w:lang w:val="en-US" w:eastAsia="zh-CN"/>
            </w:rPr>
            <w:t>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_Toc27931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_Toc11615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二、收入决算情况说明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_Toc11615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_Toc18795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三、支出决算情况说明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_Toc18795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_Toc18092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四、财政拨款收入支出决算总体情况说明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_Toc18092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_Toc25323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五、一般公共预算财政拨款支出决算情况说明</w:t>
          </w:r>
          <w:r>
            <w:rPr>
              <w:rFonts w:hint="eastAsia" w:ascii="仿宋" w:hAnsi="仿宋" w:eastAsia="仿宋" w:cs="仿宋"/>
              <w:bCs/>
              <w:sz w:val="28"/>
              <w:szCs w:val="28"/>
            </w:rPr>
            <w:t xml:space="preserve"> </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_Toc25323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_Toc31126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六、一般公共预算财政拨款基本支出决算情况说明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_Toc31126 \h </w:instrText>
          </w:r>
          <w:r>
            <w:rPr>
              <w:rFonts w:hint="eastAsia" w:ascii="仿宋" w:hAnsi="仿宋" w:eastAsia="仿宋" w:cs="仿宋"/>
              <w:sz w:val="28"/>
              <w:szCs w:val="28"/>
            </w:rPr>
            <w:fldChar w:fldCharType="separate"/>
          </w:r>
          <w:r>
            <w:rPr>
              <w:rFonts w:hint="eastAsia" w:ascii="仿宋" w:hAnsi="仿宋" w:eastAsia="仿宋" w:cs="仿宋"/>
              <w:sz w:val="28"/>
              <w:szCs w:val="28"/>
            </w:rPr>
            <w:t>17</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仿宋" w:hAnsi="仿宋" w:eastAsia="仿宋" w:cs="仿宋"/>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_Toc15632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七、一般公共预算财政拨款“三公”经费支出决算情况说明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_Toc15632 \h </w:instrText>
          </w:r>
          <w:r>
            <w:rPr>
              <w:rFonts w:hint="eastAsia" w:ascii="仿宋" w:hAnsi="仿宋" w:eastAsia="仿宋" w:cs="仿宋"/>
              <w:sz w:val="28"/>
              <w:szCs w:val="28"/>
            </w:rPr>
            <w:fldChar w:fldCharType="separate"/>
          </w:r>
          <w:r>
            <w:rPr>
              <w:rFonts w:hint="eastAsia" w:ascii="仿宋" w:hAnsi="仿宋" w:eastAsia="仿宋" w:cs="仿宋"/>
              <w:sz w:val="28"/>
              <w:szCs w:val="28"/>
            </w:rPr>
            <w:t>17</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2"/>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宋体" w:hAnsi="宋体" w:eastAsia="宋体" w:cs="宋体"/>
              <w:sz w:val="28"/>
              <w:szCs w:val="28"/>
            </w:rPr>
          </w:pPr>
          <w:r>
            <w:rPr>
              <w:rFonts w:hint="eastAsia" w:ascii="仿宋" w:hAnsi="仿宋" w:eastAsia="仿宋" w:cs="仿宋"/>
              <w:color w:val="000000"/>
              <w:sz w:val="28"/>
              <w:szCs w:val="28"/>
            </w:rPr>
            <w:fldChar w:fldCharType="begin"/>
          </w:r>
          <w:r>
            <w:rPr>
              <w:rFonts w:hint="eastAsia" w:ascii="仿宋" w:hAnsi="仿宋" w:eastAsia="仿宋" w:cs="仿宋"/>
              <w:sz w:val="28"/>
              <w:szCs w:val="28"/>
            </w:rPr>
            <w:instrText xml:space="preserve"> HYPERLINK \l _Toc16158 </w:instrText>
          </w:r>
          <w:r>
            <w:rPr>
              <w:rFonts w:hint="eastAsia" w:ascii="仿宋" w:hAnsi="仿宋" w:eastAsia="仿宋" w:cs="仿宋"/>
              <w:sz w:val="28"/>
              <w:szCs w:val="28"/>
            </w:rPr>
            <w:fldChar w:fldCharType="separate"/>
          </w:r>
          <w:r>
            <w:rPr>
              <w:rFonts w:hint="eastAsia" w:ascii="仿宋" w:hAnsi="仿宋" w:eastAsia="仿宋" w:cs="仿宋"/>
              <w:bCs/>
              <w:sz w:val="28"/>
              <w:szCs w:val="28"/>
              <w:lang w:val="en-US" w:eastAsia="zh-CN"/>
            </w:rPr>
            <w:t>八、其他重要事项情况说明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_Toc16158 \h </w:instrText>
          </w:r>
          <w:r>
            <w:rPr>
              <w:rFonts w:hint="eastAsia" w:ascii="仿宋" w:hAnsi="仿宋" w:eastAsia="仿宋" w:cs="仿宋"/>
              <w:sz w:val="28"/>
              <w:szCs w:val="28"/>
            </w:rPr>
            <w:fldChar w:fldCharType="separate"/>
          </w:r>
          <w:r>
            <w:rPr>
              <w:rFonts w:hint="eastAsia" w:ascii="仿宋" w:hAnsi="仿宋" w:eastAsia="仿宋" w:cs="仿宋"/>
              <w:sz w:val="28"/>
              <w:szCs w:val="28"/>
            </w:rPr>
            <w:t>17</w:t>
          </w:r>
          <w:r>
            <w:rPr>
              <w:rFonts w:hint="eastAsia" w:ascii="仿宋" w:hAnsi="仿宋" w:eastAsia="仿宋" w:cs="仿宋"/>
              <w:sz w:val="28"/>
              <w:szCs w:val="28"/>
            </w:rPr>
            <w:fldChar w:fldCharType="end"/>
          </w:r>
          <w:r>
            <w:rPr>
              <w:rFonts w:hint="eastAsia" w:ascii="仿宋" w:hAnsi="仿宋" w:eastAsia="仿宋" w:cs="仿宋"/>
              <w:color w:val="000000"/>
              <w:sz w:val="28"/>
              <w:szCs w:val="28"/>
            </w:rPr>
            <w:fldChar w:fldCharType="end"/>
          </w:r>
        </w:p>
        <w:p>
          <w:pPr>
            <w:pStyle w:val="11"/>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color w:val="000000"/>
              <w:sz w:val="28"/>
              <w:szCs w:val="28"/>
            </w:rPr>
            <w:fldChar w:fldCharType="begin"/>
          </w:r>
          <w:r>
            <w:rPr>
              <w:rFonts w:hint="eastAsia" w:ascii="宋体" w:hAnsi="宋体" w:eastAsia="宋体" w:cs="宋体"/>
              <w:b/>
              <w:sz w:val="28"/>
              <w:szCs w:val="28"/>
            </w:rPr>
            <w:instrText xml:space="preserve"> HYPERLINK \l _Toc27312 </w:instrText>
          </w:r>
          <w:r>
            <w:rPr>
              <w:rFonts w:hint="eastAsia" w:ascii="宋体" w:hAnsi="宋体" w:eastAsia="宋体" w:cs="宋体"/>
              <w:b/>
              <w:sz w:val="28"/>
              <w:szCs w:val="28"/>
            </w:rPr>
            <w:fldChar w:fldCharType="separate"/>
          </w:r>
          <w:r>
            <w:rPr>
              <w:rFonts w:hint="eastAsia" w:ascii="黑体" w:hAnsi="黑体" w:eastAsia="黑体" w:cs="黑体"/>
              <w:b w:val="0"/>
              <w:bCs/>
              <w:sz w:val="28"/>
              <w:szCs w:val="28"/>
              <w:lang w:val="en-US" w:eastAsia="zh-CN"/>
            </w:rPr>
            <w:t>第四部分  名词解释</w:t>
          </w:r>
          <w:r>
            <w:rPr>
              <w:rFonts w:hint="eastAsia" w:ascii="宋体" w:hAnsi="宋体" w:eastAsia="宋体" w:cs="宋体"/>
              <w:b/>
              <w:sz w:val="28"/>
              <w:szCs w:val="28"/>
            </w:rPr>
            <w:tab/>
          </w:r>
          <w:r>
            <w:rPr>
              <w:rFonts w:hint="eastAsia" w:ascii="宋体" w:hAnsi="宋体" w:eastAsia="宋体" w:cs="宋体"/>
              <w:b/>
              <w:sz w:val="28"/>
              <w:szCs w:val="28"/>
            </w:rPr>
            <w:fldChar w:fldCharType="begin"/>
          </w:r>
          <w:r>
            <w:rPr>
              <w:rFonts w:hint="eastAsia" w:ascii="宋体" w:hAnsi="宋体" w:eastAsia="宋体" w:cs="宋体"/>
              <w:b/>
              <w:sz w:val="28"/>
              <w:szCs w:val="28"/>
            </w:rPr>
            <w:instrText xml:space="preserve"> PAGEREF _Toc27312 \h </w:instrText>
          </w:r>
          <w:r>
            <w:rPr>
              <w:rFonts w:hint="eastAsia" w:ascii="宋体" w:hAnsi="宋体" w:eastAsia="宋体" w:cs="宋体"/>
              <w:b/>
              <w:sz w:val="28"/>
              <w:szCs w:val="28"/>
            </w:rPr>
            <w:fldChar w:fldCharType="separate"/>
          </w:r>
          <w:r>
            <w:rPr>
              <w:rFonts w:hint="eastAsia" w:ascii="宋体" w:hAnsi="宋体" w:eastAsia="宋体" w:cs="宋体"/>
              <w:b/>
              <w:sz w:val="28"/>
              <w:szCs w:val="28"/>
            </w:rPr>
            <w:t>23</w:t>
          </w:r>
          <w:r>
            <w:rPr>
              <w:rFonts w:hint="eastAsia" w:ascii="宋体" w:hAnsi="宋体" w:eastAsia="宋体" w:cs="宋体"/>
              <w:b/>
              <w:sz w:val="28"/>
              <w:szCs w:val="28"/>
            </w:rPr>
            <w:fldChar w:fldCharType="end"/>
          </w:r>
          <w:r>
            <w:rPr>
              <w:rFonts w:hint="eastAsia" w:ascii="宋体" w:hAnsi="宋体" w:eastAsia="宋体" w:cs="宋体"/>
              <w:b/>
              <w:color w:val="000000"/>
              <w:sz w:val="28"/>
              <w:szCs w:val="28"/>
            </w:rPr>
            <w:fldChar w:fldCharType="end"/>
          </w:r>
        </w:p>
        <w:p>
          <w:pPr>
            <w:pStyle w:val="11"/>
            <w:keepNext w:val="0"/>
            <w:keepLines w:val="0"/>
            <w:pageBreakBefore w:val="0"/>
            <w:tabs>
              <w:tab w:val="right" w:leader="dot" w:pos="9866"/>
            </w:tabs>
            <w:kinsoku/>
            <w:wordWrap/>
            <w:overflowPunct/>
            <w:topLinePunct w:val="0"/>
            <w:autoSpaceDE/>
            <w:autoSpaceDN/>
            <w:bidi w:val="0"/>
            <w:adjustRightInd/>
            <w:snapToGrid/>
            <w:spacing w:line="480" w:lineRule="exact"/>
            <w:textAlignment w:val="auto"/>
            <w:rPr>
              <w:rFonts w:hint="eastAsia" w:ascii="宋体" w:hAnsi="宋体" w:eastAsia="宋体" w:cs="宋体"/>
              <w:b/>
              <w:sz w:val="28"/>
              <w:szCs w:val="28"/>
            </w:rPr>
          </w:pPr>
          <w:r>
            <w:rPr>
              <w:rFonts w:hint="eastAsia" w:ascii="宋体" w:hAnsi="宋体" w:eastAsia="宋体" w:cs="宋体"/>
              <w:b/>
              <w:color w:val="000000"/>
              <w:sz w:val="28"/>
              <w:szCs w:val="28"/>
            </w:rPr>
            <w:fldChar w:fldCharType="begin"/>
          </w:r>
          <w:r>
            <w:rPr>
              <w:rFonts w:hint="eastAsia" w:ascii="宋体" w:hAnsi="宋体" w:eastAsia="宋体" w:cs="宋体"/>
              <w:b/>
              <w:sz w:val="28"/>
              <w:szCs w:val="28"/>
            </w:rPr>
            <w:instrText xml:space="preserve"> HYPERLINK \l _Toc18074 </w:instrText>
          </w:r>
          <w:r>
            <w:rPr>
              <w:rFonts w:hint="eastAsia" w:ascii="宋体" w:hAnsi="宋体" w:eastAsia="宋体" w:cs="宋体"/>
              <w:b/>
              <w:sz w:val="28"/>
              <w:szCs w:val="28"/>
            </w:rPr>
            <w:fldChar w:fldCharType="separate"/>
          </w:r>
          <w:r>
            <w:rPr>
              <w:rFonts w:hint="eastAsia" w:ascii="黑体" w:hAnsi="黑体" w:eastAsia="黑体" w:cs="黑体"/>
              <w:b w:val="0"/>
              <w:bCs/>
              <w:sz w:val="28"/>
              <w:szCs w:val="28"/>
              <w:lang w:val="en-US" w:eastAsia="zh-CN"/>
            </w:rPr>
            <w:t>第五部分  附件</w:t>
          </w:r>
          <w:r>
            <w:rPr>
              <w:rFonts w:hint="eastAsia" w:ascii="宋体" w:hAnsi="宋体" w:eastAsia="宋体" w:cs="宋体"/>
              <w:b/>
              <w:sz w:val="28"/>
              <w:szCs w:val="28"/>
            </w:rPr>
            <w:tab/>
          </w:r>
          <w:r>
            <w:rPr>
              <w:rFonts w:hint="eastAsia" w:ascii="宋体" w:hAnsi="宋体" w:eastAsia="宋体" w:cs="宋体"/>
              <w:b/>
              <w:sz w:val="28"/>
              <w:szCs w:val="28"/>
            </w:rPr>
            <w:fldChar w:fldCharType="begin"/>
          </w:r>
          <w:r>
            <w:rPr>
              <w:rFonts w:hint="eastAsia" w:ascii="宋体" w:hAnsi="宋体" w:eastAsia="宋体" w:cs="宋体"/>
              <w:b/>
              <w:sz w:val="28"/>
              <w:szCs w:val="28"/>
            </w:rPr>
            <w:instrText xml:space="preserve"> PAGEREF _Toc18074 \h </w:instrText>
          </w:r>
          <w:r>
            <w:rPr>
              <w:rFonts w:hint="eastAsia" w:ascii="宋体" w:hAnsi="宋体" w:eastAsia="宋体" w:cs="宋体"/>
              <w:b/>
              <w:sz w:val="28"/>
              <w:szCs w:val="28"/>
            </w:rPr>
            <w:fldChar w:fldCharType="separate"/>
          </w:r>
          <w:r>
            <w:rPr>
              <w:rFonts w:hint="eastAsia" w:ascii="宋体" w:hAnsi="宋体" w:eastAsia="宋体" w:cs="宋体"/>
              <w:b/>
              <w:sz w:val="28"/>
              <w:szCs w:val="28"/>
            </w:rPr>
            <w:t>24</w:t>
          </w:r>
          <w:r>
            <w:rPr>
              <w:rFonts w:hint="eastAsia" w:ascii="宋体" w:hAnsi="宋体" w:eastAsia="宋体" w:cs="宋体"/>
              <w:b/>
              <w:sz w:val="28"/>
              <w:szCs w:val="28"/>
            </w:rPr>
            <w:fldChar w:fldCharType="end"/>
          </w:r>
          <w:r>
            <w:rPr>
              <w:rFonts w:hint="eastAsia" w:ascii="宋体" w:hAnsi="宋体" w:eastAsia="宋体" w:cs="宋体"/>
              <w:b/>
              <w:color w:val="000000"/>
              <w:sz w:val="28"/>
              <w:szCs w:val="28"/>
            </w:rPr>
            <w:fldChar w:fldCharType="end"/>
          </w:r>
        </w:p>
        <w:p>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b/>
              <w:color w:val="000000"/>
              <w:sz w:val="44"/>
              <w:szCs w:val="44"/>
            </w:rPr>
            <w:sectPr>
              <w:footerReference r:id="rId3" w:type="default"/>
              <w:pgSz w:w="11906" w:h="16838"/>
              <w:pgMar w:top="1134" w:right="1020" w:bottom="1440" w:left="1020" w:header="851" w:footer="992" w:gutter="0"/>
              <w:pgNumType w:start="1"/>
              <w:cols w:space="0" w:num="1"/>
              <w:rtlGutter w:val="0"/>
              <w:docGrid w:type="lines" w:linePitch="312" w:charSpace="0"/>
            </w:sectPr>
          </w:pPr>
          <w:r>
            <w:rPr>
              <w:rFonts w:hint="eastAsia" w:ascii="宋体" w:hAnsi="宋体" w:eastAsia="宋体" w:cs="宋体"/>
              <w:b/>
              <w:color w:val="000000"/>
              <w:sz w:val="28"/>
              <w:szCs w:val="28"/>
            </w:rPr>
            <w:fldChar w:fldCharType="end"/>
          </w:r>
        </w:p>
      </w:sdtContent>
    </w:sdt>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b/>
          <w:color w:val="000000"/>
          <w:sz w:val="44"/>
          <w:szCs w:val="44"/>
        </w:rPr>
      </w:pPr>
    </w:p>
    <w:p>
      <w:pPr>
        <w:pStyle w:val="2"/>
        <w:numPr>
          <w:ilvl w:val="0"/>
          <w:numId w:val="1"/>
        </w:numPr>
        <w:bidi w:val="0"/>
        <w:jc w:val="center"/>
        <w:rPr>
          <w:rFonts w:hint="eastAsia" w:ascii="黑体" w:hAnsi="黑体" w:eastAsia="黑体" w:cs="黑体"/>
          <w:b w:val="0"/>
          <w:bCs/>
          <w:color w:val="000000"/>
          <w:sz w:val="36"/>
          <w:szCs w:val="36"/>
          <w:lang w:val="en-US" w:eastAsia="zh-CN"/>
        </w:rPr>
      </w:pPr>
      <w:bookmarkStart w:id="0" w:name="_Toc3936"/>
      <w:r>
        <w:rPr>
          <w:rFonts w:hint="eastAsia" w:ascii="宋体" w:hAnsi="宋体" w:eastAsia="宋体" w:cs="宋体"/>
          <w:sz w:val="36"/>
          <w:szCs w:val="36"/>
          <w:lang w:val="en-US" w:eastAsia="zh-CN"/>
        </w:rPr>
        <w:t>概况</w:t>
      </w:r>
      <w:bookmarkEnd w:id="0"/>
    </w:p>
    <w:p>
      <w:pPr>
        <w:pStyle w:val="3"/>
        <w:bidi w:val="0"/>
        <w:ind w:firstLine="640" w:firstLineChars="200"/>
        <w:rPr>
          <w:rFonts w:hint="eastAsia"/>
          <w:b w:val="0"/>
          <w:bCs/>
          <w:lang w:val="en-US" w:eastAsia="zh-CN"/>
        </w:rPr>
      </w:pPr>
      <w:bookmarkStart w:id="1" w:name="_Toc19314"/>
      <w:r>
        <w:rPr>
          <w:rFonts w:hint="eastAsia"/>
          <w:b w:val="0"/>
          <w:bCs/>
          <w:lang w:val="en-US" w:eastAsia="zh-CN"/>
        </w:rPr>
        <w:t>一、本部门（单位）职责</w:t>
      </w:r>
      <w:bookmarkEnd w:id="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z w:val="32"/>
          <w:szCs w:val="32"/>
          <w:lang w:val="en-US" w:eastAsia="zh-CN"/>
        </w:rPr>
      </w:pPr>
      <w:r>
        <w:rPr>
          <w:rFonts w:hint="eastAsia" w:ascii="仿宋_GB2312" w:eastAsia="仿宋_GB2312"/>
          <w:sz w:val="32"/>
          <w:szCs w:val="32"/>
          <w:lang w:eastAsia="zh-CN"/>
        </w:rPr>
        <w:t>大同市第二看守所</w:t>
      </w:r>
      <w:r>
        <w:rPr>
          <w:rFonts w:hint="eastAsia" w:ascii="仿宋_GB2312" w:eastAsia="仿宋_GB2312"/>
          <w:sz w:val="32"/>
          <w:szCs w:val="32"/>
        </w:rPr>
        <w:t xml:space="preserve">主要承担以下工作职责： </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羁押依法被逮捕、刑事拘留的人犯，监管余刑在三个月以下的罪犯；</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对被羁押的人犯实行武装警戒看守，保障安全，对人犯进行教育；</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管理人犯的生活和卫生，保障侦查、起诉和审判工作的顺利进行；</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对新入所的人犯办理各种入所手续，建立人犯档案并严格保管所有人犯档案；</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对出所受审转送外地或者出所就医的人犯实行武装押解；</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596" w:firstLineChars="200"/>
        <w:textAlignment w:val="auto"/>
        <w:rPr>
          <w:rFonts w:hint="eastAsia" w:ascii="仿宋_GB2312" w:eastAsia="仿宋_GB2312"/>
          <w:spacing w:val="-11"/>
          <w:sz w:val="32"/>
          <w:szCs w:val="32"/>
        </w:rPr>
      </w:pPr>
      <w:r>
        <w:rPr>
          <w:rFonts w:hint="eastAsia" w:ascii="仿宋_GB2312" w:eastAsia="仿宋_GB2312"/>
          <w:spacing w:val="-11"/>
          <w:sz w:val="32"/>
          <w:szCs w:val="32"/>
        </w:rPr>
        <w:t>对羁押在所内在押人员进行教育，体现政策，以理服人，保障安全。</w:t>
      </w:r>
    </w:p>
    <w:p/>
    <w:p>
      <w:pPr>
        <w:pStyle w:val="3"/>
        <w:bidi w:val="0"/>
        <w:ind w:firstLine="640" w:firstLineChars="200"/>
        <w:rPr>
          <w:rFonts w:hint="eastAsia"/>
          <w:b w:val="0"/>
          <w:bCs/>
          <w:lang w:val="en-US" w:eastAsia="zh-CN"/>
        </w:rPr>
      </w:pPr>
      <w:bookmarkStart w:id="2" w:name="_Toc8059"/>
      <w:r>
        <w:rPr>
          <w:rFonts w:hint="eastAsia"/>
          <w:b w:val="0"/>
          <w:bCs/>
          <w:lang w:val="en-US" w:eastAsia="zh-CN"/>
        </w:rPr>
        <w:t>二、机构设置情况</w:t>
      </w:r>
      <w:bookmarkEnd w:id="2"/>
    </w:p>
    <w:p>
      <w:pPr>
        <w:spacing w:line="580" w:lineRule="exact"/>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大同市第二看守所为副处（县）级建制单位，是羁押依法被逮捕、刑事拘留的犯罪嫌疑人的机关，羁押依法被刑事拘留、逮捕的犯罪嫌疑人、被告人。看守所的任务是依法对被羁押的犯罪嫌疑人、被告人实行武装警戒看守，保证安全，对犯罪嫌疑人、被告人进行管理教育，保障侦查、起诉、审批工作的顺利进行；将罪犯送交刑罚执行机关执行刑罚。为进一步加强监所执法规范化建设，提升监所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b w:val="0"/>
          <w:bCs/>
          <w:color w:val="00000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jc w:val="both"/>
        <w:textAlignment w:val="auto"/>
        <w:rPr>
          <w:rFonts w:hint="eastAsia" w:ascii="宋体" w:hAnsi="宋体"/>
          <w:b/>
          <w:bCs w:val="0"/>
          <w:color w:val="000000"/>
          <w:sz w:val="36"/>
          <w:szCs w:val="36"/>
          <w:lang w:val="en-US" w:eastAsia="zh-CN"/>
        </w:rPr>
      </w:pPr>
      <w:r>
        <w:rPr>
          <w:rFonts w:hint="eastAsia" w:ascii="宋体" w:hAnsi="宋体"/>
          <w:b/>
          <w:bCs w:val="0"/>
          <w:color w:val="000000"/>
          <w:sz w:val="36"/>
          <w:szCs w:val="36"/>
          <w:lang w:val="en-US" w:eastAsia="zh-CN"/>
        </w:rPr>
        <w:t xml:space="preserve">              </w:t>
      </w:r>
    </w:p>
    <w:p>
      <w:pPr>
        <w:pStyle w:val="2"/>
        <w:bidi w:val="0"/>
        <w:jc w:val="center"/>
        <w:rPr>
          <w:rFonts w:hint="eastAsia" w:ascii="宋体" w:hAnsi="宋体" w:eastAsia="宋体" w:cs="宋体"/>
          <w:b/>
          <w:bCs w:val="0"/>
          <w:sz w:val="36"/>
          <w:szCs w:val="36"/>
          <w:lang w:val="en-US" w:eastAsia="zh-CN"/>
        </w:rPr>
      </w:pPr>
      <w:bookmarkStart w:id="3" w:name="_Toc14040"/>
      <w:r>
        <w:rPr>
          <w:rFonts w:hint="eastAsia" w:ascii="宋体" w:hAnsi="宋体" w:eastAsia="宋体" w:cs="宋体"/>
          <w:b/>
          <w:bCs w:val="0"/>
          <w:sz w:val="36"/>
          <w:szCs w:val="36"/>
          <w:lang w:val="en-US" w:eastAsia="zh-CN"/>
        </w:rPr>
        <w:t>第二部分  2022年度部门决算报表</w:t>
      </w:r>
      <w:bookmarkEnd w:id="3"/>
    </w:p>
    <w:tbl>
      <w:tblPr>
        <w:tblStyle w:val="7"/>
        <w:tblpPr w:leftFromText="180" w:rightFromText="180" w:vertAnchor="text" w:horzAnchor="page" w:tblpX="1165" w:tblpY="30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15"/>
        <w:gridCol w:w="411"/>
        <w:gridCol w:w="1508"/>
        <w:gridCol w:w="3027"/>
        <w:gridCol w:w="429"/>
        <w:gridCol w:w="14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5000" w:type="pct"/>
            <w:gridSpan w:val="6"/>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24"/>
                <w:u w:val="none"/>
              </w:rPr>
            </w:pPr>
            <w:bookmarkStart w:id="4" w:name="_Toc29128"/>
            <w:r>
              <w:rPr>
                <w:rFonts w:hint="eastAsia"/>
                <w:b w:val="0"/>
                <w:bCs/>
                <w:lang w:val="en-US" w:eastAsia="zh-CN"/>
              </w:rPr>
              <w:t>收入支出决算总表</w:t>
            </w:r>
            <w:bookmarkEnd w:id="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594" w:type="pct"/>
            <w:tcBorders>
              <w:top w:val="nil"/>
              <w:left w:val="nil"/>
              <w:bottom w:val="nil"/>
              <w:right w:val="nil"/>
            </w:tcBorders>
            <w:shd w:val="clear" w:color="auto" w:fill="auto"/>
            <w:noWrap/>
            <w:vAlign w:val="bottom"/>
          </w:tcPr>
          <w:p>
            <w:pPr>
              <w:rPr>
                <w:rFonts w:hint="eastAsia" w:ascii="Arial" w:hAnsi="Arial" w:cs="Arial"/>
                <w:i w:val="0"/>
                <w:iCs w:val="0"/>
                <w:color w:val="000000"/>
                <w:sz w:val="16"/>
                <w:szCs w:val="16"/>
                <w:u w:val="none"/>
              </w:rPr>
            </w:pPr>
          </w:p>
        </w:tc>
        <w:tc>
          <w:tcPr>
            <w:tcW w:w="203"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747"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1501"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212"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74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594"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21"/>
                <w:szCs w:val="21"/>
                <w:u w:val="none"/>
                <w:lang w:val="en-US" w:eastAsia="zh-CN" w:bidi="ar"/>
              </w:rPr>
              <w:t>部门：大同市第二看守所</w:t>
            </w:r>
          </w:p>
        </w:tc>
        <w:tc>
          <w:tcPr>
            <w:tcW w:w="203"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747"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1501"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212"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74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545"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w:t>
            </w:r>
          </w:p>
        </w:tc>
        <w:tc>
          <w:tcPr>
            <w:tcW w:w="2454" w:type="pct"/>
            <w:gridSpan w:val="3"/>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7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行次</w:t>
            </w:r>
          </w:p>
        </w:tc>
        <w:tc>
          <w:tcPr>
            <w:tcW w:w="74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203"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74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栏次</w:t>
            </w:r>
          </w:p>
        </w:tc>
        <w:tc>
          <w:tcPr>
            <w:tcW w:w="212"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18"/>
                <w:szCs w:val="18"/>
                <w:u w:val="none"/>
              </w:rPr>
            </w:pPr>
          </w:p>
        </w:tc>
        <w:tc>
          <w:tcPr>
            <w:tcW w:w="74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一、一般公共预算财政拨款收入</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74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2,116,003.78</w:t>
            </w: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一、一般公共服务支出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二、政府性基金预算财政拨款收入</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二、外交支出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三、国有资本经营预算财政拨款收入</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三、国防支出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四、上级补助收入</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四、公共安全支出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74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2,116,003.78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五、事业收入</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五、教育支出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六、经营收入</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六、科学技术支出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七、附属单位上缴收入</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七、文化旅游体育与传媒支出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八、其他收入</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八、社会保障和就业支出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九、卫生健康支出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十、节能环保支出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十一、城乡社区支出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十二、农林水支出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十三、交通运输支出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十四、资源勘探工业信息等支出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十五、商业服务业等支出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十六、金融支出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十七、援助其他地区支出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十八、自然资源海洋气象等支出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十九、住房保障支出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二十、粮油物资储备支出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二十一、国有资本经营预算支出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二十二、灾害防治及应急管理支出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二十三、其他支出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二十四、债务还本支出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二十五、债务付息支出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18"/>
                <w:szCs w:val="18"/>
                <w:u w:val="none"/>
              </w:rPr>
            </w:pP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二十六、抗疫特别国债安排的支出</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本年收入合计</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74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2,116,003.78</w:t>
            </w: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本年支出合计</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74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2,116,003.78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使用非财政拨款结余</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结余分配</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年初结转和结余</w:t>
            </w:r>
          </w:p>
        </w:tc>
        <w:tc>
          <w:tcPr>
            <w:tcW w:w="20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74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年末结转和结余</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74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594"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203" w:type="pct"/>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747"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2,116,003.78</w:t>
            </w:r>
          </w:p>
        </w:tc>
        <w:tc>
          <w:tcPr>
            <w:tcW w:w="1501"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21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74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2,116,003.78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注：本表反映部门本年度的总收支和年末结转结余情况。本套报表金额单位转换时可能存在尾数误差。</w:t>
            </w:r>
          </w:p>
        </w:tc>
      </w:tr>
    </w:tbl>
    <w:p>
      <w:pPr>
        <w:rPr>
          <w:sz w:val="18"/>
          <w:szCs w:val="18"/>
        </w:rPr>
        <w:sectPr>
          <w:footerReference r:id="rId4" w:type="default"/>
          <w:pgSz w:w="11906" w:h="16838"/>
          <w:pgMar w:top="1134" w:right="1020" w:bottom="1440" w:left="1020" w:header="851" w:footer="992" w:gutter="0"/>
          <w:pgNumType w:fmt="decimal" w:start="1"/>
          <w:cols w:space="0" w:num="1"/>
          <w:rtlGutter w:val="0"/>
          <w:docGrid w:type="lines" w:linePitch="312" w:charSpace="0"/>
        </w:sectPr>
      </w:pPr>
    </w:p>
    <w:p>
      <w:pPr>
        <w:rPr>
          <w:sz w:val="18"/>
          <w:szCs w:val="18"/>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6"/>
        <w:gridCol w:w="222"/>
        <w:gridCol w:w="222"/>
        <w:gridCol w:w="2196"/>
        <w:gridCol w:w="1565"/>
        <w:gridCol w:w="1602"/>
        <w:gridCol w:w="1072"/>
        <w:gridCol w:w="1072"/>
        <w:gridCol w:w="1072"/>
        <w:gridCol w:w="1073"/>
        <w:gridCol w:w="15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1"/>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5" w:name="_Toc19346"/>
            <w:r>
              <w:rPr>
                <w:rFonts w:hint="eastAsia"/>
                <w:b w:val="0"/>
                <w:bCs/>
                <w:lang w:val="en-US" w:eastAsia="zh-CN"/>
              </w:rPr>
              <w:t>收入决算表</w:t>
            </w:r>
            <w:bookmarkEnd w:id="5"/>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815" w:type="pct"/>
            <w:tcBorders>
              <w:top w:val="nil"/>
              <w:left w:val="nil"/>
              <w:bottom w:val="nil"/>
              <w:right w:val="nil"/>
            </w:tcBorders>
            <w:shd w:val="clear" w:color="auto" w:fill="auto"/>
            <w:noWrap/>
            <w:vAlign w:val="bottom"/>
          </w:tcPr>
          <w:p>
            <w:pPr>
              <w:rPr>
                <w:rFonts w:hint="eastAsia" w:ascii="Arial" w:hAnsi="Arial" w:cs="Arial"/>
                <w:i w:val="0"/>
                <w:iCs w:val="0"/>
                <w:color w:val="000000"/>
                <w:sz w:val="18"/>
                <w:szCs w:val="18"/>
                <w:u w:val="none"/>
              </w:rPr>
            </w:pP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741"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579"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579"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392"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392"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392"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392"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55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815"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1"/>
                <w:szCs w:val="21"/>
                <w:u w:val="none"/>
                <w:lang w:val="en-US" w:eastAsia="zh-CN" w:bidi="ar"/>
              </w:rPr>
              <w:t>部门：大同市第二看守所</w:t>
            </w: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78"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741"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579"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579"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392"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392"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392"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392" w:type="pct"/>
            <w:tcBorders>
              <w:top w:val="nil"/>
              <w:left w:val="nil"/>
              <w:bottom w:val="nil"/>
              <w:right w:val="nil"/>
            </w:tcBorders>
            <w:shd w:val="clear" w:color="auto" w:fill="auto"/>
            <w:noWrap/>
            <w:vAlign w:val="bottom"/>
          </w:tcPr>
          <w:p>
            <w:pPr>
              <w:rPr>
                <w:rFonts w:hint="default" w:ascii="Arial" w:hAnsi="Arial" w:cs="Arial"/>
                <w:i w:val="0"/>
                <w:iCs w:val="0"/>
                <w:color w:val="000000"/>
                <w:sz w:val="18"/>
                <w:szCs w:val="18"/>
                <w:u w:val="none"/>
              </w:rPr>
            </w:pPr>
          </w:p>
        </w:tc>
        <w:tc>
          <w:tcPr>
            <w:tcW w:w="558"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13"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57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39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39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39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392"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558"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72"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741"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57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7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5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72"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41"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7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7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5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72"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741"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57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7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392"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558"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3"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79"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579"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9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9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9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392"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55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13"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2,116,003.78</w:t>
            </w:r>
          </w:p>
        </w:tc>
        <w:tc>
          <w:tcPr>
            <w:tcW w:w="5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2,116,003.78</w:t>
            </w: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5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7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74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5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5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7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74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5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5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72"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741"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5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57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72"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72"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72"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72"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972"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741"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7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39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5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pPr>
        <w:rPr>
          <w:rFonts w:hint="eastAsia" w:eastAsia="宋体"/>
          <w:sz w:val="18"/>
          <w:szCs w:val="18"/>
          <w:lang w:eastAsia="zh-CN"/>
        </w:rPr>
        <w:sectPr>
          <w:pgSz w:w="16838" w:h="11905" w:orient="landscape"/>
          <w:pgMar w:top="1083" w:right="1440" w:bottom="1083" w:left="1440" w:header="851" w:footer="992" w:gutter="0"/>
          <w:pgNumType w:fmt="decimal"/>
          <w:cols w:space="0" w:num="1"/>
          <w:rtlGutter w:val="0"/>
          <w:docGrid w:type="lines" w:linePitch="314" w:charSpace="0"/>
        </w:sect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6"/>
        <w:gridCol w:w="228"/>
        <w:gridCol w:w="230"/>
        <w:gridCol w:w="2283"/>
        <w:gridCol w:w="1781"/>
        <w:gridCol w:w="1206"/>
        <w:gridCol w:w="1781"/>
        <w:gridCol w:w="1207"/>
        <w:gridCol w:w="1207"/>
        <w:gridCol w:w="17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0"/>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6" w:name="_Toc13655"/>
            <w:r>
              <w:rPr>
                <w:rFonts w:hint="eastAsia"/>
                <w:b w:val="0"/>
                <w:bCs/>
                <w:lang w:val="en-US" w:eastAsia="zh-CN"/>
              </w:rPr>
              <w:t>支出决算表</w:t>
            </w:r>
            <w:bookmarkEnd w:id="6"/>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886"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8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0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2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2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2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2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2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0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886"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1"/>
                <w:szCs w:val="21"/>
                <w:u w:val="none"/>
                <w:lang w:val="en-US" w:eastAsia="zh-CN" w:bidi="ar"/>
              </w:rPr>
              <w:t>部门：大同市第二看守所</w:t>
            </w:r>
          </w:p>
        </w:tc>
        <w:tc>
          <w:tcPr>
            <w:tcW w:w="8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1"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80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2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2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29"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2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2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60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5"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2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426"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629"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426"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426"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60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806"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62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2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0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62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2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80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2"/>
                <w:szCs w:val="22"/>
                <w:u w:val="none"/>
              </w:rPr>
            </w:pPr>
          </w:p>
        </w:tc>
        <w:tc>
          <w:tcPr>
            <w:tcW w:w="62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29"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426"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c>
          <w:tcPr>
            <w:tcW w:w="60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5"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629"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2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629"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2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2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607"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55"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6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2,116,003.78</w:t>
            </w: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2,116,003.78</w:t>
            </w: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8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公共安全支出</w:t>
            </w:r>
          </w:p>
        </w:tc>
        <w:tc>
          <w:tcPr>
            <w:tcW w:w="6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w:t>
            </w:r>
          </w:p>
        </w:tc>
        <w:tc>
          <w:tcPr>
            <w:tcW w:w="8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公安</w:t>
            </w:r>
          </w:p>
        </w:tc>
        <w:tc>
          <w:tcPr>
            <w:tcW w:w="6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2040202</w:t>
            </w:r>
          </w:p>
        </w:tc>
        <w:tc>
          <w:tcPr>
            <w:tcW w:w="80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6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2,116,003.78</w:t>
            </w: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0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0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0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0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4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80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2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42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60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pPr>
        <w:rPr>
          <w:rFonts w:hint="eastAsia" w:eastAsia="宋体"/>
          <w:sz w:val="18"/>
          <w:szCs w:val="18"/>
          <w:lang w:eastAsia="zh-CN"/>
        </w:rPr>
        <w:sectPr>
          <w:pgSz w:w="16838" w:h="11905" w:orient="landscape"/>
          <w:pgMar w:top="1083" w:right="1440" w:bottom="1083" w:left="1440" w:header="851" w:footer="992" w:gutter="0"/>
          <w:pgNumType w:fmt="decimal"/>
          <w:cols w:space="0" w:num="1"/>
          <w:rtlGutter w:val="0"/>
          <w:docGrid w:type="lines" w:linePitch="314" w:charSpace="0"/>
        </w:sect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22"/>
        <w:gridCol w:w="500"/>
        <w:gridCol w:w="1590"/>
        <w:gridCol w:w="3530"/>
        <w:gridCol w:w="500"/>
        <w:gridCol w:w="1531"/>
        <w:gridCol w:w="1587"/>
        <w:gridCol w:w="1063"/>
        <w:gridCol w:w="14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9"/>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22"/>
                <w:u w:val="none"/>
              </w:rPr>
            </w:pPr>
            <w:bookmarkStart w:id="7" w:name="_Toc3528"/>
            <w:r>
              <w:rPr>
                <w:rFonts w:hint="eastAsia"/>
                <w:b w:val="0"/>
                <w:bCs/>
                <w:lang w:val="en-US" w:eastAsia="zh-CN"/>
              </w:rPr>
              <w:t>财政拨款收入支出决算总表</w:t>
            </w:r>
            <w:bookmarkEnd w:id="7"/>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1050" w:type="pct"/>
            <w:tcBorders>
              <w:top w:val="nil"/>
              <w:left w:val="nil"/>
              <w:bottom w:val="nil"/>
              <w:right w:val="nil"/>
            </w:tcBorders>
            <w:shd w:val="clear" w:color="auto" w:fill="auto"/>
            <w:noWrap/>
            <w:vAlign w:val="bottom"/>
          </w:tcPr>
          <w:p>
            <w:pPr>
              <w:rPr>
                <w:rFonts w:hint="eastAsia" w:ascii="Arial" w:hAnsi="Arial" w:cs="Arial"/>
                <w:i w:val="0"/>
                <w:iCs w:val="0"/>
                <w:color w:val="000000"/>
                <w:sz w:val="16"/>
                <w:szCs w:val="16"/>
                <w:u w:val="none"/>
              </w:rPr>
            </w:pP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535"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1187"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516"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535"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358"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476"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50"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21"/>
                <w:szCs w:val="21"/>
                <w:u w:val="none"/>
                <w:lang w:val="en-US" w:eastAsia="zh-CN" w:bidi="ar"/>
              </w:rPr>
              <w:t>部门：大同市第二看守所</w:t>
            </w: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535"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1187"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170"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516"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535"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358" w:type="pct"/>
            <w:tcBorders>
              <w:top w:val="nil"/>
              <w:left w:val="nil"/>
              <w:bottom w:val="nil"/>
              <w:right w:val="nil"/>
            </w:tcBorders>
            <w:shd w:val="clear" w:color="auto" w:fill="auto"/>
            <w:noWrap/>
            <w:vAlign w:val="bottom"/>
          </w:tcPr>
          <w:p>
            <w:pPr>
              <w:rPr>
                <w:rFonts w:hint="default" w:ascii="Arial" w:hAnsi="Arial" w:cs="Arial"/>
                <w:i w:val="0"/>
                <w:iCs w:val="0"/>
                <w:color w:val="000000"/>
                <w:sz w:val="16"/>
                <w:szCs w:val="16"/>
                <w:u w:val="none"/>
              </w:rPr>
            </w:pPr>
          </w:p>
        </w:tc>
        <w:tc>
          <w:tcPr>
            <w:tcW w:w="476"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756"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     入</w:t>
            </w:r>
          </w:p>
        </w:tc>
        <w:tc>
          <w:tcPr>
            <w:tcW w:w="3243" w:type="pct"/>
            <w:gridSpan w:val="6"/>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     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trPr>
        <w:tc>
          <w:tcPr>
            <w:tcW w:w="1050"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170"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行次</w:t>
            </w:r>
          </w:p>
        </w:tc>
        <w:tc>
          <w:tcPr>
            <w:tcW w:w="53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w:t>
            </w:r>
          </w:p>
        </w:tc>
        <w:tc>
          <w:tcPr>
            <w:tcW w:w="118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170"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行次</w:t>
            </w:r>
          </w:p>
        </w:tc>
        <w:tc>
          <w:tcPr>
            <w:tcW w:w="516"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535"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一般公共预算财政拨款</w:t>
            </w:r>
          </w:p>
        </w:tc>
        <w:tc>
          <w:tcPr>
            <w:tcW w:w="35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政府性基金预算财政拨款</w:t>
            </w:r>
          </w:p>
        </w:tc>
        <w:tc>
          <w:tcPr>
            <w:tcW w:w="47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050"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170"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53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118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170"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51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535"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35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7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栏次</w:t>
            </w:r>
          </w:p>
        </w:tc>
        <w:tc>
          <w:tcPr>
            <w:tcW w:w="170"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栏次</w:t>
            </w:r>
          </w:p>
        </w:tc>
        <w:tc>
          <w:tcPr>
            <w:tcW w:w="170"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51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35"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358"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6"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一、一般公共预算财政拨款</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5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一、一般公共服务支出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二、政府性基金预算财政拨款</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二、外交支出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三、国有资本经营财政拨款</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三、国防支出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四、公共安全支出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51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5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五、教育支出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六、科学技术支出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七、文化旅游体育与传媒支出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八、社会保障和就业支出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九、卫生健康支出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十、节能环保支出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十一、城乡社区支出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十二、农林水支出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十三、交通运输支出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十四、资源勘探工业信息等支出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十五、商业服务业等支出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十六、金融支出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十七、援助其他地区支出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十八、自然资源海洋气象等支出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十九、住房保障支出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二十、粮油物资储备支出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二十一、国有资本经营预算支出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二十二、灾害防治及应急管理支出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二十三、其他支出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center"/>
              <w:rPr>
                <w:rFonts w:hint="eastAsia" w:ascii="宋体" w:hAnsi="宋体" w:eastAsia="宋体" w:cs="宋体"/>
                <w:b/>
                <w:bCs/>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二十四、债务还本支出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二十五、债务付息支出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二十六、抗疫特别国债安排的支出</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本年收入合计</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5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本年支出合计</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51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5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年初财政拨款结转和结余</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年末财政拨款结转和结余</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一般公共预算财政拨款</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政府性基金预算财政拨款</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国有资本经营预算财政拨款</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187" w:type="pct"/>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1"/>
                <w:szCs w:val="21"/>
                <w:u w:val="none"/>
              </w:rPr>
            </w:pP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5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535"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050"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总计</w:t>
            </w:r>
          </w:p>
        </w:tc>
        <w:tc>
          <w:tcPr>
            <w:tcW w:w="170" w:type="pct"/>
            <w:tcBorders>
              <w:top w:val="nil"/>
              <w:left w:val="nil"/>
              <w:bottom w:val="single" w:color="000000" w:sz="8"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5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118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总计</w:t>
            </w:r>
          </w:p>
        </w:tc>
        <w:tc>
          <w:tcPr>
            <w:tcW w:w="1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64</w:t>
            </w:r>
          </w:p>
        </w:tc>
        <w:tc>
          <w:tcPr>
            <w:tcW w:w="516"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535"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35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7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523" w:type="pct"/>
            <w:gridSpan w:val="8"/>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注：本表反映部门本年度一般公共预算财政拨款、政府性基金预算财政拨款和国有资本经营预算财政拨款的总收支和年末结转结余情况。</w:t>
            </w:r>
          </w:p>
        </w:tc>
        <w:tc>
          <w:tcPr>
            <w:tcW w:w="476" w:type="pct"/>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1"/>
                <w:szCs w:val="21"/>
                <w:u w:val="none"/>
              </w:rPr>
            </w:pP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74"/>
        <w:gridCol w:w="316"/>
        <w:gridCol w:w="319"/>
        <w:gridCol w:w="3162"/>
        <w:gridCol w:w="2807"/>
        <w:gridCol w:w="2009"/>
        <w:gridCol w:w="28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7"/>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8" w:name="_Toc4515"/>
            <w:r>
              <w:rPr>
                <w:rFonts w:hint="eastAsia"/>
                <w:b w:val="0"/>
                <w:bCs/>
                <w:lang w:val="en-US" w:eastAsia="zh-CN"/>
              </w:rPr>
              <w:t>一般公共预算财政拨款支出决算表</w:t>
            </w:r>
            <w:bookmarkEnd w:id="8"/>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166" w:type="pct"/>
            <w:tcBorders>
              <w:top w:val="nil"/>
              <w:left w:val="nil"/>
              <w:bottom w:val="nil"/>
              <w:right w:val="nil"/>
            </w:tcBorders>
            <w:shd w:val="clear" w:color="auto" w:fill="auto"/>
            <w:noWrap/>
            <w:vAlign w:val="bottom"/>
          </w:tcPr>
          <w:p>
            <w:pPr>
              <w:rPr>
                <w:rFonts w:hint="eastAsia" w:ascii="Arial" w:hAnsi="Arial" w:cs="Arial"/>
                <w:i w:val="0"/>
                <w:iCs w:val="0"/>
                <w:color w:val="000000"/>
                <w:sz w:val="21"/>
                <w:szCs w:val="21"/>
                <w:u w:val="none"/>
              </w:rPr>
            </w:pPr>
          </w:p>
        </w:tc>
        <w:tc>
          <w:tcPr>
            <w:tcW w:w="106"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06"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060"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942"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674"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94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166"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部门：大同市第二看守所</w:t>
            </w:r>
          </w:p>
        </w:tc>
        <w:tc>
          <w:tcPr>
            <w:tcW w:w="106"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06"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060"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942"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674"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943"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440"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2559"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功能分类科目编码</w:t>
            </w:r>
          </w:p>
        </w:tc>
        <w:tc>
          <w:tcPr>
            <w:tcW w:w="1060"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科目名称</w:t>
            </w:r>
          </w:p>
        </w:tc>
        <w:tc>
          <w:tcPr>
            <w:tcW w:w="942"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674"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基本支出</w:t>
            </w:r>
          </w:p>
        </w:tc>
        <w:tc>
          <w:tcPr>
            <w:tcW w:w="94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trPr>
        <w:tc>
          <w:tcPr>
            <w:tcW w:w="1379"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1060"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94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67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94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1060"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942"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674"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94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440"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栏次</w:t>
            </w:r>
          </w:p>
        </w:tc>
        <w:tc>
          <w:tcPr>
            <w:tcW w:w="942"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74"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943"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440"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9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2,116,003.78</w:t>
            </w:r>
          </w:p>
        </w:tc>
        <w:tc>
          <w:tcPr>
            <w:tcW w:w="6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c>
          <w:tcPr>
            <w:tcW w:w="9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2,116,003.78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204</w:t>
            </w:r>
          </w:p>
        </w:tc>
        <w:tc>
          <w:tcPr>
            <w:tcW w:w="106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公共安全支出</w:t>
            </w:r>
          </w:p>
        </w:tc>
        <w:tc>
          <w:tcPr>
            <w:tcW w:w="9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6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9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20402</w:t>
            </w:r>
          </w:p>
        </w:tc>
        <w:tc>
          <w:tcPr>
            <w:tcW w:w="106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公安</w:t>
            </w:r>
          </w:p>
        </w:tc>
        <w:tc>
          <w:tcPr>
            <w:tcW w:w="9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6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9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2040202</w:t>
            </w:r>
          </w:p>
        </w:tc>
        <w:tc>
          <w:tcPr>
            <w:tcW w:w="1060"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一般行政管理事务</w:t>
            </w:r>
          </w:p>
        </w:tc>
        <w:tc>
          <w:tcPr>
            <w:tcW w:w="942"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c>
          <w:tcPr>
            <w:tcW w:w="6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943" w:type="pct"/>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2,116,003.78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1060"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6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9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1060"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6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9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1060"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6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9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1060"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6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9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379"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1060"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942"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674"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94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注：本表反映部门本年度一般公共预算财政拨款支出情况。</w:t>
            </w: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tbl>
      <w:tblPr>
        <w:tblStyle w:val="7"/>
        <w:tblW w:w="1407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4"/>
        <w:gridCol w:w="2007"/>
        <w:gridCol w:w="933"/>
        <w:gridCol w:w="455"/>
        <w:gridCol w:w="515"/>
        <w:gridCol w:w="1410"/>
        <w:gridCol w:w="813"/>
        <w:gridCol w:w="455"/>
        <w:gridCol w:w="515"/>
        <w:gridCol w:w="1649"/>
        <w:gridCol w:w="335"/>
        <w:gridCol w:w="694"/>
        <w:gridCol w:w="515"/>
        <w:gridCol w:w="2485"/>
        <w:gridCol w:w="813"/>
        <w:gridCol w:w="6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14076" w:type="dxa"/>
            <w:gridSpan w:val="16"/>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22"/>
                <w:u w:val="none"/>
              </w:rPr>
            </w:pPr>
            <w:bookmarkStart w:id="9" w:name="_Toc13113"/>
            <w:r>
              <w:rPr>
                <w:rFonts w:hint="eastAsia"/>
                <w:b w:val="0"/>
                <w:bCs/>
                <w:lang w:val="en-US" w:eastAsia="zh-CN"/>
              </w:rPr>
              <w:t>一般公共预算财政拨款基本支出决算表</w:t>
            </w:r>
            <w:bookmarkEnd w:id="9"/>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0" w:hRule="atLeast"/>
        </w:trPr>
        <w:tc>
          <w:tcPr>
            <w:tcW w:w="0" w:type="auto"/>
            <w:tcBorders>
              <w:top w:val="nil"/>
              <w:left w:val="nil"/>
              <w:bottom w:val="nil"/>
              <w:right w:val="nil"/>
            </w:tcBorders>
            <w:shd w:val="clear" w:color="auto" w:fill="auto"/>
            <w:noWrap/>
            <w:vAlign w:val="bottom"/>
          </w:tcPr>
          <w:p>
            <w:pPr>
              <w:rPr>
                <w:rFonts w:hint="eastAsia"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3850" w:type="dxa"/>
            <w:gridSpan w:val="3"/>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2369" w:type="dxa"/>
            <w:gridSpan w:val="2"/>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r>
              <w:rPr>
                <w:rFonts w:hint="eastAsia" w:ascii="宋体" w:hAnsi="宋体" w:eastAsia="宋体" w:cs="宋体"/>
                <w:i w:val="0"/>
                <w:iCs w:val="0"/>
                <w:color w:val="000000"/>
                <w:kern w:val="0"/>
                <w:sz w:val="21"/>
                <w:szCs w:val="21"/>
                <w:u w:val="none"/>
                <w:lang w:val="en-US" w:eastAsia="zh-CN" w:bidi="ar"/>
              </w:rPr>
              <w:t>部门：大同市第二看守所</w:t>
            </w: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0" w:type="auto"/>
            <w:tcBorders>
              <w:top w:val="nil"/>
              <w:left w:val="nil"/>
              <w:bottom w:val="nil"/>
              <w:right w:val="nil"/>
            </w:tcBorders>
            <w:shd w:val="clear" w:color="auto" w:fill="auto"/>
            <w:noWrap/>
            <w:vAlign w:val="bottom"/>
          </w:tcPr>
          <w:p>
            <w:pPr>
              <w:rPr>
                <w:rFonts w:hint="default" w:ascii="Arial" w:hAnsi="Arial" w:cs="Arial"/>
                <w:i w:val="0"/>
                <w:iCs w:val="0"/>
                <w:color w:val="000000"/>
                <w:sz w:val="15"/>
                <w:szCs w:val="15"/>
                <w:u w:val="none"/>
              </w:rPr>
            </w:pPr>
          </w:p>
        </w:tc>
        <w:tc>
          <w:tcPr>
            <w:tcW w:w="3850" w:type="dxa"/>
            <w:gridSpan w:val="3"/>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人员经费</w:t>
            </w:r>
          </w:p>
        </w:tc>
        <w:tc>
          <w:tcPr>
            <w:tcW w:w="0" w:type="auto"/>
            <w:gridSpan w:val="12"/>
            <w:tcBorders>
              <w:top w:val="single" w:color="000000" w:sz="4" w:space="0"/>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92" w:type="dxa"/>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877"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880"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437"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其中：基本支出</w:t>
            </w:r>
          </w:p>
        </w:tc>
        <w:tc>
          <w:tcPr>
            <w:tcW w:w="493"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323"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770"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437"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其中：基本支出</w:t>
            </w:r>
          </w:p>
        </w:tc>
        <w:tc>
          <w:tcPr>
            <w:tcW w:w="493"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545"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327"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659"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其中：基本支出</w:t>
            </w:r>
          </w:p>
        </w:tc>
        <w:tc>
          <w:tcPr>
            <w:tcW w:w="493"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2320"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770"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760" w:type="dxa"/>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92" w:type="dxa"/>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1877"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880"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437"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493"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1323"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770"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437"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493"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1545"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327"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659"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493"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2320"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770"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c>
          <w:tcPr>
            <w:tcW w:w="760" w:type="dxa"/>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工资福利支出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商品和服务支出</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409,033.56</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307</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债务利息及费用支出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174,217.96</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咨询费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国内债务发行费用</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国外债务发行费用</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资本性支出（基本建设）</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94,816.60</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30901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房屋构筑物构建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30207</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30902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311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对企业补助（基本建设）</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30208</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30903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31101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资本金注入</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30905</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31199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其他对企业补助</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30906</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312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对企业补助</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30907</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31201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资本金注入</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54,999.00</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30908</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31203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政府投资基金股权投资</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30913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31204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费用补贴</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303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对个人和家庭的补助</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1,706,970.22</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30215</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30919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31205</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利息补贴</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30921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31299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其他对企业补助</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30217</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30922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313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对社会保障基金补助</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30218</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30999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31302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对社会保障基金补助</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85,000.00</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310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资本性支出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31303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补充全国社会保障基金</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1,706,970.22</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30225</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房屋构筑物构建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31304</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对机关事业单位职业年金的补助</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30226</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399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30227</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39906</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赠与</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对民间非营利组织和群众性自治组织补贴</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30240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0" w:type="auto"/>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FFFFFF" w:fill="C0C0C0"/>
            <w:noWrap/>
            <w:vAlign w:val="center"/>
          </w:tcPr>
          <w:p>
            <w:pPr>
              <w:jc w:val="lef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2"/>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人员经费合计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1,706,970.22</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c>
          <w:tcPr>
            <w:tcW w:w="0" w:type="auto"/>
            <w:gridSpan w:val="10"/>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公用经费合计</w:t>
            </w:r>
          </w:p>
        </w:tc>
        <w:tc>
          <w:tcPr>
            <w:tcW w:w="0" w:type="auto"/>
            <w:tcBorders>
              <w:top w:val="nil"/>
              <w:left w:val="nil"/>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409,033.56</w:t>
            </w:r>
          </w:p>
        </w:tc>
        <w:tc>
          <w:tcPr>
            <w:tcW w:w="0" w:type="auto"/>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1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注：本表反映部门本年度一般公共预算财政拨款支出明细情况（其中包括基本支出明细情况）。</w:t>
            </w:r>
          </w:p>
        </w:tc>
      </w:tr>
    </w:tbl>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8"/>
          <w:szCs w:val="18"/>
          <w:lang w:eastAsia="zh-CN"/>
        </w:rPr>
      </w:pPr>
    </w:p>
    <w:p>
      <w:pPr>
        <w:rPr>
          <w:rFonts w:hint="eastAsia" w:eastAsia="宋体"/>
          <w:sz w:val="10"/>
          <w:szCs w:val="10"/>
          <w:lang w:eastAsia="zh-CN"/>
        </w:rPr>
      </w:pPr>
    </w:p>
    <w:p>
      <w:pPr>
        <w:rPr>
          <w:sz w:val="10"/>
          <w:szCs w:val="10"/>
        </w:rPr>
      </w:pPr>
    </w:p>
    <w:p>
      <w:pPr>
        <w:rPr>
          <w:sz w:val="6"/>
          <w:szCs w:val="6"/>
        </w:rPr>
      </w:pPr>
    </w:p>
    <w:p>
      <w:pPr>
        <w:rPr>
          <w:sz w:val="6"/>
          <w:szCs w:val="6"/>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6"/>
        <w:gridCol w:w="1167"/>
        <w:gridCol w:w="1068"/>
        <w:gridCol w:w="1069"/>
        <w:gridCol w:w="1072"/>
        <w:gridCol w:w="1075"/>
        <w:gridCol w:w="1069"/>
        <w:gridCol w:w="1168"/>
        <w:gridCol w:w="1069"/>
        <w:gridCol w:w="1069"/>
        <w:gridCol w:w="1072"/>
        <w:gridCol w:w="14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50" w:hRule="atLeast"/>
        </w:trPr>
        <w:tc>
          <w:tcPr>
            <w:tcW w:w="5000" w:type="pct"/>
            <w:gridSpan w:val="12"/>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44"/>
                <w:u w:val="none"/>
              </w:rPr>
            </w:pPr>
            <w:bookmarkStart w:id="10" w:name="_Toc2289"/>
            <w:r>
              <w:rPr>
                <w:rFonts w:hint="eastAsia"/>
                <w:b w:val="0"/>
                <w:bCs/>
                <w:lang w:val="en-US" w:eastAsia="zh-CN"/>
              </w:rPr>
              <w:t>一般公共预算财政拨款“三公”经费支出决算表</w:t>
            </w:r>
            <w:bookmarkEnd w:id="1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681" w:type="pct"/>
            <w:tcBorders>
              <w:top w:val="nil"/>
              <w:left w:val="nil"/>
              <w:bottom w:val="nil"/>
              <w:right w:val="nil"/>
            </w:tcBorders>
            <w:shd w:val="clear" w:color="auto" w:fill="auto"/>
            <w:noWrap/>
            <w:vAlign w:val="bottom"/>
          </w:tcPr>
          <w:p>
            <w:pPr>
              <w:rPr>
                <w:rFonts w:hint="eastAsia"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8"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681"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部门：大同市第二看守所</w:t>
            </w:r>
          </w:p>
        </w:tc>
        <w:tc>
          <w:tcPr>
            <w:tcW w:w="416"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宋体" w:hAnsi="宋体" w:eastAsia="宋体" w:cs="宋体"/>
                <w:i w:val="0"/>
                <w:iCs w:val="0"/>
                <w:color w:val="000000"/>
                <w:kern w:val="0"/>
                <w:sz w:val="21"/>
                <w:szCs w:val="21"/>
                <w:u w:val="none"/>
                <w:lang w:val="en-US" w:eastAsia="zh-CN" w:bidi="ar"/>
              </w:rPr>
            </w:pPr>
          </w:p>
        </w:tc>
        <w:tc>
          <w:tcPr>
            <w:tcW w:w="383"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宋体" w:hAnsi="宋体" w:eastAsia="宋体" w:cs="宋体"/>
                <w:i w:val="0"/>
                <w:iCs w:val="0"/>
                <w:color w:val="000000"/>
                <w:kern w:val="0"/>
                <w:sz w:val="21"/>
                <w:szCs w:val="21"/>
                <w:u w:val="none"/>
                <w:lang w:val="en-US" w:eastAsia="zh-CN" w:bidi="ar"/>
              </w:rPr>
            </w:pPr>
          </w:p>
        </w:tc>
        <w:tc>
          <w:tcPr>
            <w:tcW w:w="383"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宋体" w:hAnsi="宋体" w:eastAsia="宋体" w:cs="宋体"/>
                <w:i w:val="0"/>
                <w:iCs w:val="0"/>
                <w:color w:val="000000"/>
                <w:kern w:val="0"/>
                <w:sz w:val="21"/>
                <w:szCs w:val="21"/>
                <w:u w:val="none"/>
                <w:lang w:val="en-US" w:eastAsia="zh-CN" w:bidi="ar"/>
              </w:rPr>
            </w:pPr>
          </w:p>
        </w:tc>
        <w:tc>
          <w:tcPr>
            <w:tcW w:w="383"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宋体" w:hAnsi="宋体" w:eastAsia="宋体" w:cs="宋体"/>
                <w:i w:val="0"/>
                <w:iCs w:val="0"/>
                <w:color w:val="000000"/>
                <w:kern w:val="0"/>
                <w:sz w:val="21"/>
                <w:szCs w:val="21"/>
                <w:u w:val="none"/>
                <w:lang w:val="en-US" w:eastAsia="zh-CN" w:bidi="ar"/>
              </w:rPr>
            </w:pPr>
          </w:p>
        </w:tc>
        <w:tc>
          <w:tcPr>
            <w:tcW w:w="383"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宋体" w:hAnsi="宋体" w:eastAsia="宋体" w:cs="宋体"/>
                <w:i w:val="0"/>
                <w:iCs w:val="0"/>
                <w:color w:val="000000"/>
                <w:kern w:val="0"/>
                <w:sz w:val="21"/>
                <w:szCs w:val="21"/>
                <w:u w:val="none"/>
                <w:lang w:val="en-US" w:eastAsia="zh-CN" w:bidi="ar"/>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6"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383" w:type="pct"/>
            <w:tcBorders>
              <w:top w:val="nil"/>
              <w:left w:val="nil"/>
              <w:bottom w:val="nil"/>
              <w:right w:val="nil"/>
            </w:tcBorders>
            <w:shd w:val="clear" w:color="auto" w:fill="auto"/>
            <w:noWrap/>
            <w:vAlign w:val="bottom"/>
          </w:tcPr>
          <w:p>
            <w:pPr>
              <w:rPr>
                <w:rFonts w:hint="default" w:ascii="Arial" w:hAnsi="Arial" w:cs="Arial"/>
                <w:i w:val="0"/>
                <w:iCs w:val="0"/>
                <w:color w:val="000000"/>
                <w:sz w:val="20"/>
                <w:szCs w:val="20"/>
                <w:u w:val="none"/>
              </w:rPr>
            </w:pPr>
          </w:p>
        </w:tc>
        <w:tc>
          <w:tcPr>
            <w:tcW w:w="418"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631" w:type="pct"/>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left"/>
              <w:textAlignment w:val="bottom"/>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预算数</w:t>
            </w:r>
          </w:p>
        </w:tc>
        <w:tc>
          <w:tcPr>
            <w:tcW w:w="2368" w:type="pct"/>
            <w:gridSpan w:val="6"/>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81" w:type="pct"/>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因公出国（境）费</w:t>
            </w:r>
          </w:p>
        </w:tc>
        <w:tc>
          <w:tcPr>
            <w:tcW w:w="1150" w:type="pct"/>
            <w:gridSpan w:val="3"/>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公务用车购置及运行费</w:t>
            </w:r>
          </w:p>
        </w:tc>
        <w:tc>
          <w:tcPr>
            <w:tcW w:w="38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公务接待费</w:t>
            </w:r>
          </w:p>
        </w:tc>
        <w:tc>
          <w:tcPr>
            <w:tcW w:w="383"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416"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因公出国（境）费</w:t>
            </w:r>
          </w:p>
        </w:tc>
        <w:tc>
          <w:tcPr>
            <w:tcW w:w="1150" w:type="pct"/>
            <w:gridSpan w:val="3"/>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公务用车购置及运行费</w:t>
            </w:r>
          </w:p>
        </w:tc>
        <w:tc>
          <w:tcPr>
            <w:tcW w:w="418"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681" w:type="pct"/>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公务用车购置费</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公务用车运行费</w:t>
            </w:r>
          </w:p>
        </w:tc>
        <w:tc>
          <w:tcPr>
            <w:tcW w:w="38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383"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16"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公务用车购置费</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公务用车运行费</w:t>
            </w:r>
          </w:p>
        </w:tc>
        <w:tc>
          <w:tcPr>
            <w:tcW w:w="418"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81" w:type="pc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1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416"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383"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418" w:type="pc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81" w:type="pct"/>
            <w:tcBorders>
              <w:top w:val="nil"/>
              <w:left w:val="single" w:color="000000" w:sz="4" w:space="0"/>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16"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383"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18"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5000" w:type="pct"/>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pPr>
        <w:rPr>
          <w:sz w:val="21"/>
          <w:szCs w:val="21"/>
        </w:rPr>
      </w:pPr>
    </w:p>
    <w:p>
      <w:pPr>
        <w:rPr>
          <w:sz w:val="21"/>
          <w:szCs w:val="21"/>
        </w:rPr>
      </w:pPr>
    </w:p>
    <w:p>
      <w:pPr>
        <w:rPr>
          <w:rFonts w:hint="default" w:eastAsia="宋体"/>
          <w:sz w:val="28"/>
          <w:szCs w:val="28"/>
          <w:lang w:val="en-US" w:eastAsia="zh-CN"/>
        </w:rPr>
      </w:pPr>
      <w:r>
        <w:rPr>
          <w:rFonts w:hint="eastAsia"/>
          <w:sz w:val="21"/>
          <w:szCs w:val="21"/>
          <w:lang w:val="en-US" w:eastAsia="zh-CN"/>
        </w:rPr>
        <w:t>说明：大同市第二看守所没有“三公”经费预算安排的支出，故本表无数据。</w:t>
      </w: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60"/>
        <w:gridCol w:w="298"/>
        <w:gridCol w:w="301"/>
        <w:gridCol w:w="1481"/>
        <w:gridCol w:w="1481"/>
        <w:gridCol w:w="1481"/>
        <w:gridCol w:w="1481"/>
        <w:gridCol w:w="1481"/>
        <w:gridCol w:w="1484"/>
        <w:gridCol w:w="21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10"/>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11" w:name="_Toc21136"/>
            <w:r>
              <w:rPr>
                <w:rFonts w:hint="eastAsia"/>
                <w:b w:val="0"/>
                <w:bCs/>
                <w:lang w:val="en-US" w:eastAsia="zh-CN"/>
              </w:rPr>
              <w:t>政府性基金预算财政拨款收入支出决算表</w:t>
            </w:r>
            <w:bookmarkEnd w:id="1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094" w:type="pct"/>
            <w:tcBorders>
              <w:top w:val="nil"/>
              <w:left w:val="nil"/>
              <w:bottom w:val="nil"/>
              <w:right w:val="nil"/>
            </w:tcBorders>
            <w:shd w:val="clear" w:color="auto" w:fill="auto"/>
            <w:noWrap/>
            <w:vAlign w:val="bottom"/>
          </w:tcPr>
          <w:p>
            <w:pPr>
              <w:rPr>
                <w:rFonts w:hint="eastAsia" w:ascii="Arial" w:hAnsi="Arial" w:cs="Arial"/>
                <w:i w:val="0"/>
                <w:iCs w:val="0"/>
                <w:color w:val="000000"/>
                <w:sz w:val="21"/>
                <w:szCs w:val="21"/>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6"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2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094"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部门：大同市第二看守所</w:t>
            </w: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00"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6"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49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2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2"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49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年初结转和结余</w:t>
            </w:r>
          </w:p>
        </w:tc>
        <w:tc>
          <w:tcPr>
            <w:tcW w:w="497"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本年收入</w:t>
            </w:r>
          </w:p>
        </w:tc>
        <w:tc>
          <w:tcPr>
            <w:tcW w:w="1492"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本年支出</w:t>
            </w:r>
          </w:p>
        </w:tc>
        <w:tc>
          <w:tcPr>
            <w:tcW w:w="720" w:type="pct"/>
            <w:vMerge w:val="restart"/>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95"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功能分类科目编码</w:t>
            </w:r>
          </w:p>
        </w:tc>
        <w:tc>
          <w:tcPr>
            <w:tcW w:w="496"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科目名称</w:t>
            </w: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小计</w:t>
            </w: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基本支出</w:t>
            </w:r>
          </w:p>
        </w:tc>
        <w:tc>
          <w:tcPr>
            <w:tcW w:w="49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项目支出</w:t>
            </w: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95"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6"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49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720" w:type="pct"/>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栏次</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9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72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92"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295"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6"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49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2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0"/>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注：本表反映部门本年度政府性基金预算财政拨款收入、支出及结转和结余情况。</w:t>
            </w:r>
          </w:p>
        </w:tc>
      </w:tr>
    </w:tbl>
    <w:p>
      <w:pPr>
        <w:rPr>
          <w:sz w:val="21"/>
          <w:szCs w:val="21"/>
        </w:rPr>
      </w:pPr>
    </w:p>
    <w:p>
      <w:pPr>
        <w:rPr>
          <w:rFonts w:hint="default" w:eastAsia="宋体"/>
          <w:sz w:val="21"/>
          <w:szCs w:val="21"/>
          <w:lang w:val="en-US" w:eastAsia="zh-CN"/>
        </w:rPr>
      </w:pPr>
      <w:r>
        <w:rPr>
          <w:rFonts w:hint="eastAsia"/>
          <w:sz w:val="21"/>
          <w:szCs w:val="21"/>
          <w:lang w:val="en-US" w:eastAsia="zh-CN"/>
        </w:rPr>
        <w:t>说明：大同市第二看守所没有使用政府性基金预算安排的支出，故本表无数据。</w:t>
      </w:r>
    </w:p>
    <w:p>
      <w:pPr>
        <w:rPr>
          <w:sz w:val="21"/>
          <w:szCs w:val="21"/>
        </w:rPr>
      </w:pPr>
    </w:p>
    <w:p>
      <w:pPr>
        <w:rPr>
          <w:sz w:val="13"/>
          <w:szCs w:val="13"/>
        </w:rPr>
      </w:pPr>
    </w:p>
    <w:p>
      <w:pPr>
        <w:rPr>
          <w:sz w:val="13"/>
          <w:szCs w:val="13"/>
        </w:rPr>
      </w:pPr>
    </w:p>
    <w:p>
      <w:pPr>
        <w:rPr>
          <w:sz w:val="13"/>
          <w:szCs w:val="13"/>
        </w:rPr>
      </w:pPr>
    </w:p>
    <w:p>
      <w:pPr>
        <w:rPr>
          <w:sz w:val="13"/>
          <w:szCs w:val="13"/>
        </w:r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49"/>
        <w:gridCol w:w="426"/>
        <w:gridCol w:w="426"/>
        <w:gridCol w:w="2110"/>
        <w:gridCol w:w="2113"/>
        <w:gridCol w:w="2113"/>
        <w:gridCol w:w="3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5000" w:type="pct"/>
            <w:gridSpan w:val="7"/>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30"/>
                <w:u w:val="none"/>
              </w:rPr>
            </w:pPr>
            <w:bookmarkStart w:id="12" w:name="_Toc26321"/>
            <w:r>
              <w:rPr>
                <w:rFonts w:hint="eastAsia"/>
                <w:b w:val="0"/>
                <w:bCs/>
                <w:lang w:val="en-US" w:eastAsia="zh-CN"/>
              </w:rPr>
              <w:t>国有资本经营预算财政拨款支出决算表</w:t>
            </w:r>
            <w:bookmarkEnd w:id="1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560" w:type="pct"/>
            <w:tcBorders>
              <w:top w:val="nil"/>
              <w:left w:val="nil"/>
              <w:bottom w:val="nil"/>
              <w:right w:val="nil"/>
            </w:tcBorders>
            <w:shd w:val="clear" w:color="auto" w:fill="auto"/>
            <w:noWrap/>
            <w:vAlign w:val="bottom"/>
          </w:tcPr>
          <w:p>
            <w:pPr>
              <w:rPr>
                <w:rFonts w:hint="eastAsia" w:ascii="Arial" w:hAnsi="Arial" w:cs="Arial"/>
                <w:i w:val="0"/>
                <w:iCs w:val="0"/>
                <w:color w:val="000000"/>
                <w:sz w:val="21"/>
                <w:szCs w:val="21"/>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0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0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560"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部门：大同市第二看守所</w:t>
            </w: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43"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0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709"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1027"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54" w:type="pct"/>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2445" w:type="pct"/>
            <w:gridSpan w:val="3"/>
            <w:tcBorders>
              <w:top w:val="single" w:color="000000" w:sz="4" w:space="0"/>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vMerge w:val="restart"/>
            <w:tcBorders>
              <w:top w:val="nil"/>
              <w:left w:val="single" w:color="000000" w:sz="4" w:space="0"/>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功能分类科目编码</w:t>
            </w:r>
          </w:p>
        </w:tc>
        <w:tc>
          <w:tcPr>
            <w:tcW w:w="707" w:type="pct"/>
            <w:vMerge w:val="restar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科目名称</w:t>
            </w:r>
          </w:p>
        </w:tc>
        <w:tc>
          <w:tcPr>
            <w:tcW w:w="7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709"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基本支出</w:t>
            </w:r>
          </w:p>
        </w:tc>
        <w:tc>
          <w:tcPr>
            <w:tcW w:w="1027" w:type="pct"/>
            <w:vMerge w:val="restart"/>
            <w:tcBorders>
              <w:top w:val="nil"/>
              <w:left w:val="nil"/>
              <w:bottom w:val="single" w:color="000000" w:sz="4" w:space="0"/>
              <w:right w:val="single" w:color="000000" w:sz="4" w:space="0"/>
            </w:tcBorders>
            <w:shd w:val="clear" w:color="FFFFFF" w:fill="C0C0C0"/>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70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10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707" w:type="pct"/>
            <w:vMerge w:val="continue"/>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709"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c>
          <w:tcPr>
            <w:tcW w:w="1027" w:type="pct"/>
            <w:vMerge w:val="continue"/>
            <w:tcBorders>
              <w:top w:val="nil"/>
              <w:left w:val="nil"/>
              <w:bottom w:val="single" w:color="000000" w:sz="4" w:space="0"/>
              <w:right w:val="single" w:color="000000" w:sz="4" w:space="0"/>
            </w:tcBorders>
            <w:shd w:val="clear" w:color="FFFFFF" w:fill="C0C0C0"/>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54"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栏次</w:t>
            </w:r>
          </w:p>
        </w:tc>
        <w:tc>
          <w:tcPr>
            <w:tcW w:w="7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709"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02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554" w:type="pct"/>
            <w:gridSpan w:val="4"/>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1846" w:type="pct"/>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7" w:type="pct"/>
            <w:tcBorders>
              <w:top w:val="nil"/>
              <w:left w:val="nil"/>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709"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c>
          <w:tcPr>
            <w:tcW w:w="1027"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5000" w:type="pct"/>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注：本表反映部门本年度国有资本经营预算财政拨款支出情况。</w:t>
            </w:r>
          </w:p>
        </w:tc>
      </w:tr>
    </w:tbl>
    <w:p>
      <w:pPr>
        <w:rPr>
          <w:sz w:val="21"/>
          <w:szCs w:val="21"/>
        </w:rPr>
      </w:pPr>
    </w:p>
    <w:p>
      <w:pPr>
        <w:rPr>
          <w:rFonts w:hint="default" w:eastAsia="宋体"/>
          <w:sz w:val="21"/>
          <w:szCs w:val="21"/>
          <w:lang w:val="en-US" w:eastAsia="zh-CN"/>
        </w:rPr>
      </w:pPr>
      <w:r>
        <w:rPr>
          <w:rFonts w:hint="eastAsia"/>
          <w:sz w:val="21"/>
          <w:szCs w:val="21"/>
          <w:lang w:val="en-US" w:eastAsia="zh-CN"/>
        </w:rPr>
        <w:t>说明：大同市第二看守所没有使用国有资本经营预算安排的支出，故本表无数据。</w:t>
      </w:r>
    </w:p>
    <w:p>
      <w:pPr>
        <w:rPr>
          <w:sz w:val="21"/>
          <w:szCs w:val="21"/>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pPr>
    </w:p>
    <w:p>
      <w:pPr>
        <w:rPr>
          <w:sz w:val="13"/>
          <w:szCs w:val="13"/>
        </w:rPr>
        <w:sectPr>
          <w:pgSz w:w="16838" w:h="11905" w:orient="landscape"/>
          <w:pgMar w:top="1083" w:right="1077" w:bottom="1083" w:left="1077" w:header="851" w:footer="992" w:gutter="0"/>
          <w:pgNumType w:fmt="decimal"/>
          <w:cols w:space="0" w:num="1"/>
          <w:rtlGutter w:val="0"/>
          <w:docGrid w:type="lines" w:linePitch="314" w:charSpace="0"/>
        </w:sectPr>
      </w:pPr>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96"/>
        <w:gridCol w:w="1726"/>
        <w:gridCol w:w="19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000" w:type="pct"/>
            <w:gridSpan w:val="3"/>
            <w:tcBorders>
              <w:top w:val="nil"/>
              <w:left w:val="nil"/>
              <w:bottom w:val="nil"/>
              <w:right w:val="nil"/>
            </w:tcBorders>
            <w:shd w:val="clear" w:color="auto" w:fill="auto"/>
            <w:noWrap/>
            <w:vAlign w:val="bottom"/>
          </w:tcPr>
          <w:p>
            <w:pPr>
              <w:pStyle w:val="3"/>
              <w:bidi w:val="0"/>
              <w:jc w:val="center"/>
              <w:rPr>
                <w:rFonts w:hint="eastAsia" w:ascii="宋体" w:hAnsi="宋体" w:eastAsia="宋体" w:cs="宋体"/>
                <w:i w:val="0"/>
                <w:iCs w:val="0"/>
                <w:color w:val="000000"/>
                <w:szCs w:val="44"/>
                <w:u w:val="none"/>
              </w:rPr>
            </w:pPr>
            <w:bookmarkStart w:id="13" w:name="_Toc8801"/>
            <w:r>
              <w:rPr>
                <w:rFonts w:hint="eastAsia"/>
                <w:b w:val="0"/>
                <w:bCs/>
                <w:lang w:val="en-US" w:eastAsia="zh-CN"/>
              </w:rPr>
              <w:t>部门决算公开相关信息统计表</w:t>
            </w:r>
            <w:bookmarkEnd w:id="13"/>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3162" w:type="pct"/>
            <w:tcBorders>
              <w:top w:val="nil"/>
              <w:left w:val="nil"/>
              <w:bottom w:val="nil"/>
              <w:right w:val="nil"/>
            </w:tcBorders>
            <w:shd w:val="clear" w:color="auto" w:fill="auto"/>
            <w:noWrap/>
            <w:vAlign w:val="bottom"/>
          </w:tcPr>
          <w:p>
            <w:pPr>
              <w:rPr>
                <w:rFonts w:hint="eastAsia" w:ascii="Arial" w:hAnsi="Arial" w:cs="Arial"/>
                <w:i w:val="0"/>
                <w:iCs w:val="0"/>
                <w:color w:val="000000"/>
                <w:sz w:val="21"/>
                <w:szCs w:val="21"/>
                <w:u w:val="none"/>
              </w:rPr>
            </w:pPr>
          </w:p>
        </w:tc>
        <w:tc>
          <w:tcPr>
            <w:tcW w:w="867" w:type="pct"/>
            <w:tcBorders>
              <w:top w:val="nil"/>
              <w:left w:val="nil"/>
              <w:bottom w:val="nil"/>
              <w:right w:val="nil"/>
            </w:tcBorders>
            <w:shd w:val="clear" w:color="auto" w:fill="auto"/>
            <w:noWrap/>
            <w:vAlign w:val="bottom"/>
          </w:tcPr>
          <w:p>
            <w:pPr>
              <w:rPr>
                <w:rFonts w:hint="default" w:ascii="Arial" w:hAnsi="Arial" w:cs="Arial"/>
                <w:i w:val="0"/>
                <w:iCs w:val="0"/>
                <w:color w:val="000000"/>
                <w:sz w:val="21"/>
                <w:szCs w:val="21"/>
                <w:u w:val="none"/>
              </w:rPr>
            </w:pPr>
          </w:p>
        </w:tc>
        <w:tc>
          <w:tcPr>
            <w:tcW w:w="97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公开10表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编制单位：大同市第二看守所</w:t>
            </w:r>
          </w:p>
        </w:tc>
        <w:tc>
          <w:tcPr>
            <w:tcW w:w="867" w:type="pct"/>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2022年7月</w:t>
            </w:r>
          </w:p>
        </w:tc>
        <w:tc>
          <w:tcPr>
            <w:tcW w:w="970" w:type="pct"/>
            <w:tcBorders>
              <w:top w:val="nil"/>
              <w:left w:val="nil"/>
              <w:bottom w:val="nil"/>
              <w:right w:val="nil"/>
            </w:tcBorders>
            <w:shd w:val="clear" w:color="auto" w:fill="auto"/>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金额单位：元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5000" w:type="pct"/>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一、政府采购情况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行次</w:t>
            </w:r>
          </w:p>
        </w:tc>
        <w:tc>
          <w:tcPr>
            <w:tcW w:w="9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采购金额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货物</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工程</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5000" w:type="pct"/>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二、机关运行经费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867" w:type="pct"/>
            <w:tcBorders>
              <w:top w:val="nil"/>
              <w:left w:val="nil"/>
              <w:bottom w:val="single" w:color="000000" w:sz="4" w:space="0"/>
              <w:right w:val="single" w:color="000000" w:sz="4" w:space="0"/>
            </w:tcBorders>
            <w:shd w:val="clear" w:color="FFFFFF" w:fill="C0C0C0"/>
            <w:noWrap/>
            <w:vAlign w:val="center"/>
          </w:tcPr>
          <w:p>
            <w:pPr>
              <w:jc w:val="center"/>
              <w:rPr>
                <w:rFonts w:hint="eastAsia" w:ascii="宋体" w:hAnsi="宋体" w:eastAsia="宋体" w:cs="宋体"/>
                <w:i w:val="0"/>
                <w:iCs w:val="0"/>
                <w:color w:val="000000"/>
                <w:sz w:val="21"/>
                <w:szCs w:val="21"/>
                <w:u w:val="none"/>
              </w:rPr>
            </w:pPr>
          </w:p>
        </w:tc>
        <w:tc>
          <w:tcPr>
            <w:tcW w:w="970"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（一）行政单位</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（二）参照公务员法管理事业单位</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5000" w:type="pct"/>
            <w:gridSpan w:val="3"/>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三、国有资产占用情况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（一）车辆数合计（辆）</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1.副部（省）级及以上领导用车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2.主要领导干部用车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3.机要通信用车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4.应急保障用车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5.执法执勤用车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6.特种专业技术用车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7.离退休干部用车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8.其他用车</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（二）单价50万元以上通用设备（台、套）</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3162" w:type="pct"/>
            <w:tcBorders>
              <w:top w:val="nil"/>
              <w:left w:val="single" w:color="000000" w:sz="4" w:space="0"/>
              <w:bottom w:val="single" w:color="000000" w:sz="4" w:space="0"/>
              <w:right w:val="single" w:color="000000" w:sz="4" w:space="0"/>
            </w:tcBorders>
            <w:shd w:val="clear" w:color="FFFFFF" w:fill="C0C0C0"/>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（三）单价100万元以上专用设备（台、套）</w:t>
            </w:r>
          </w:p>
        </w:tc>
        <w:tc>
          <w:tcPr>
            <w:tcW w:w="867" w:type="pct"/>
            <w:tcBorders>
              <w:top w:val="nil"/>
              <w:left w:val="nil"/>
              <w:bottom w:val="single" w:color="000000" w:sz="4" w:space="0"/>
              <w:right w:val="single" w:color="000000" w:sz="4" w:space="0"/>
            </w:tcBorders>
            <w:shd w:val="clear" w:color="FFFFFF" w:fill="C0C0C0"/>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970" w:type="pct"/>
            <w:tcBorders>
              <w:top w:val="nil"/>
              <w:left w:val="nil"/>
              <w:bottom w:val="single" w:color="000000" w:sz="4" w:space="0"/>
              <w:right w:val="single" w:color="000000" w:sz="4" w:space="0"/>
            </w:tcBorders>
            <w:shd w:val="clear" w:color="auto" w:fill="auto"/>
            <w:noWrap/>
            <w:vAlign w:val="center"/>
          </w:tcPr>
          <w:p>
            <w:pPr>
              <w:jc w:val="right"/>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5000" w:type="pct"/>
            <w:gridSpan w:val="3"/>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注：本表反映部门本年度政府采购及机关运行经费和国有资产占用情况。</w:t>
            </w:r>
          </w:p>
        </w:tc>
      </w:tr>
    </w:tbl>
    <w:p>
      <w:pPr>
        <w:rPr>
          <w:sz w:val="13"/>
          <w:szCs w:val="13"/>
        </w:rPr>
      </w:pPr>
    </w:p>
    <w:p>
      <w:pPr>
        <w:rPr>
          <w:sz w:val="8"/>
          <w:szCs w:val="8"/>
        </w:rPr>
      </w:pPr>
    </w:p>
    <w:p>
      <w:pPr>
        <w:rPr>
          <w:sz w:val="8"/>
          <w:szCs w:val="8"/>
        </w:rPr>
      </w:pPr>
    </w:p>
    <w:p>
      <w:pPr>
        <w:rPr>
          <w:sz w:val="8"/>
          <w:szCs w:val="8"/>
        </w:rPr>
      </w:pPr>
    </w:p>
    <w:p>
      <w:pPr>
        <w:rPr>
          <w:sz w:val="8"/>
          <w:szCs w:val="8"/>
        </w:rPr>
      </w:pPr>
    </w:p>
    <w:p>
      <w:pPr>
        <w:pStyle w:val="2"/>
        <w:bidi w:val="0"/>
        <w:jc w:val="center"/>
        <w:rPr>
          <w:rFonts w:asciiTheme="minorEastAsia" w:hAnsiTheme="minorEastAsia" w:eastAsiaTheme="minorEastAsia" w:cstheme="minorEastAsia"/>
          <w:b/>
          <w:bCs/>
          <w:sz w:val="36"/>
          <w:szCs w:val="36"/>
        </w:rPr>
      </w:pPr>
      <w:bookmarkStart w:id="14" w:name="_Toc25512"/>
      <w:r>
        <w:rPr>
          <w:rFonts w:hint="eastAsia" w:ascii="宋体" w:hAnsi="宋体" w:eastAsia="宋体" w:cs="宋体"/>
          <w:b/>
          <w:bCs w:val="0"/>
          <w:sz w:val="36"/>
          <w:szCs w:val="36"/>
          <w:lang w:val="en-US" w:eastAsia="zh-CN"/>
        </w:rPr>
        <w:t>第三部分   2021年部门决算情况说明</w:t>
      </w:r>
      <w:bookmarkEnd w:id="14"/>
    </w:p>
    <w:p>
      <w:pPr>
        <w:pStyle w:val="3"/>
        <w:bidi w:val="0"/>
        <w:ind w:firstLine="640" w:firstLineChars="200"/>
        <w:rPr>
          <w:b w:val="0"/>
          <w:bCs/>
        </w:rPr>
      </w:pPr>
      <w:bookmarkStart w:id="15" w:name="_Toc27931"/>
      <w:r>
        <w:rPr>
          <w:rFonts w:hint="eastAsia"/>
          <w:b w:val="0"/>
          <w:bCs/>
          <w:lang w:val="en-US" w:eastAsia="zh-CN"/>
        </w:rPr>
        <w:t>一、</w:t>
      </w:r>
      <w:r>
        <w:rPr>
          <w:rFonts w:hint="eastAsia"/>
          <w:b w:val="0"/>
          <w:bCs/>
        </w:rPr>
        <w:t>收</w:t>
      </w:r>
      <w:r>
        <w:rPr>
          <w:rFonts w:hint="eastAsia"/>
          <w:b w:val="0"/>
          <w:bCs/>
          <w:lang w:val="en-US" w:eastAsia="zh-CN"/>
        </w:rPr>
        <w:t>入支出</w:t>
      </w:r>
      <w:r>
        <w:rPr>
          <w:rFonts w:hint="eastAsia"/>
          <w:b w:val="0"/>
          <w:bCs/>
        </w:rPr>
        <w:t>决算</w:t>
      </w:r>
      <w:r>
        <w:rPr>
          <w:rFonts w:hint="eastAsia"/>
          <w:b w:val="0"/>
          <w:bCs/>
          <w:lang w:val="en-US" w:eastAsia="zh-CN"/>
        </w:rPr>
        <w:t>总体情况说明</w:t>
      </w:r>
      <w:bookmarkEnd w:id="15"/>
    </w:p>
    <w:p>
      <w:pPr>
        <w:spacing w:line="58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2021年</w:t>
      </w:r>
      <w:r>
        <w:rPr>
          <w:rFonts w:hint="eastAsia" w:ascii="仿宋_GB2312" w:hAnsi="仿宋_GB2312" w:eastAsia="仿宋_GB2312" w:cs="仿宋_GB2312"/>
          <w:bCs/>
          <w:sz w:val="32"/>
          <w:szCs w:val="32"/>
          <w:lang w:val="en-US" w:eastAsia="zh-CN"/>
        </w:rPr>
        <w:t>度</w:t>
      </w:r>
      <w:r>
        <w:rPr>
          <w:rFonts w:hint="eastAsia" w:ascii="仿宋_GB2312" w:hAnsi="仿宋_GB2312" w:eastAsia="仿宋_GB2312" w:cs="仿宋_GB2312"/>
          <w:bCs/>
          <w:sz w:val="32"/>
          <w:szCs w:val="32"/>
        </w:rPr>
        <w:t>收入</w:t>
      </w:r>
      <w:r>
        <w:rPr>
          <w:rFonts w:hint="eastAsia" w:ascii="仿宋_GB2312" w:hAnsi="仿宋_GB2312" w:eastAsia="仿宋_GB2312" w:cs="仿宋_GB2312"/>
          <w:bCs/>
          <w:sz w:val="32"/>
          <w:szCs w:val="32"/>
          <w:lang w:val="en-US" w:eastAsia="zh-CN"/>
        </w:rPr>
        <w:t>总计211.6</w:t>
      </w:r>
      <w:r>
        <w:rPr>
          <w:rFonts w:hint="eastAsia" w:ascii="仿宋_GB2312" w:hAnsi="仿宋_GB2312" w:eastAsia="仿宋_GB2312" w:cs="仿宋_GB2312"/>
          <w:bCs/>
          <w:sz w:val="32"/>
          <w:szCs w:val="32"/>
        </w:rPr>
        <w:t>万元，支出</w:t>
      </w:r>
      <w:r>
        <w:rPr>
          <w:rFonts w:hint="eastAsia" w:ascii="仿宋_GB2312" w:hAnsi="仿宋_GB2312" w:eastAsia="仿宋_GB2312" w:cs="仿宋_GB2312"/>
          <w:bCs/>
          <w:sz w:val="32"/>
          <w:szCs w:val="32"/>
          <w:lang w:val="en-US" w:eastAsia="zh-CN"/>
        </w:rPr>
        <w:t>总计211.6</w:t>
      </w:r>
      <w:r>
        <w:rPr>
          <w:rFonts w:hint="eastAsia" w:ascii="仿宋_GB2312" w:hAnsi="仿宋_GB2312" w:eastAsia="仿宋_GB2312" w:cs="仿宋_GB2312"/>
          <w:bCs/>
          <w:sz w:val="32"/>
          <w:szCs w:val="32"/>
        </w:rPr>
        <w:t>万元，与上年比</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收入</w:t>
      </w:r>
      <w:r>
        <w:rPr>
          <w:rFonts w:hint="eastAsia" w:ascii="仿宋_GB2312" w:hAnsi="仿宋_GB2312" w:eastAsia="仿宋_GB2312" w:cs="仿宋_GB2312"/>
          <w:bCs/>
          <w:sz w:val="32"/>
          <w:szCs w:val="32"/>
          <w:lang w:val="en-US" w:eastAsia="zh-CN"/>
        </w:rPr>
        <w:t>总计减少60.5</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下降22.23%，</w:t>
      </w:r>
      <w:r>
        <w:rPr>
          <w:rFonts w:hint="eastAsia" w:ascii="仿宋_GB2312" w:hAnsi="仿宋_GB2312" w:eastAsia="仿宋_GB2312" w:cs="仿宋_GB2312"/>
          <w:bCs/>
          <w:sz w:val="32"/>
          <w:szCs w:val="32"/>
        </w:rPr>
        <w:t>支出</w:t>
      </w:r>
      <w:r>
        <w:rPr>
          <w:rFonts w:hint="eastAsia" w:ascii="仿宋_GB2312" w:hAnsi="仿宋_GB2312" w:eastAsia="仿宋_GB2312" w:cs="仿宋_GB2312"/>
          <w:bCs/>
          <w:sz w:val="32"/>
          <w:szCs w:val="32"/>
          <w:lang w:val="en-US" w:eastAsia="zh-CN"/>
        </w:rPr>
        <w:t>总计减少60.5</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下降22.23%。主要</w:t>
      </w:r>
      <w:r>
        <w:rPr>
          <w:rFonts w:hint="eastAsia" w:ascii="仿宋_GB2312" w:hAnsi="仿宋_GB2312" w:eastAsia="仿宋_GB2312" w:cs="仿宋_GB2312"/>
          <w:bCs/>
          <w:sz w:val="32"/>
          <w:szCs w:val="32"/>
        </w:rPr>
        <w:t>原因是</w:t>
      </w:r>
      <w:r>
        <w:rPr>
          <w:rFonts w:hint="eastAsia" w:ascii="仿宋_GB2312" w:hAnsi="仿宋_GB2312" w:eastAsia="仿宋_GB2312" w:cs="仿宋_GB2312"/>
          <w:bCs/>
          <w:sz w:val="32"/>
          <w:szCs w:val="32"/>
          <w:lang w:val="en-US" w:eastAsia="zh-CN"/>
        </w:rPr>
        <w:t>减少了医疗监区运行费和人犯经费。</w:t>
      </w:r>
    </w:p>
    <w:p>
      <w:pPr>
        <w:pStyle w:val="3"/>
        <w:bidi w:val="0"/>
        <w:ind w:firstLine="640" w:firstLineChars="200"/>
        <w:rPr>
          <w:rFonts w:hint="eastAsia"/>
          <w:b w:val="0"/>
          <w:bCs/>
          <w:lang w:val="en-US" w:eastAsia="zh-CN"/>
        </w:rPr>
      </w:pPr>
      <w:bookmarkStart w:id="16" w:name="_Toc11615"/>
      <w:r>
        <w:rPr>
          <w:rFonts w:hint="eastAsia"/>
          <w:b w:val="0"/>
          <w:bCs/>
          <w:lang w:val="en-US" w:eastAsia="zh-CN"/>
        </w:rPr>
        <w:t>二、收入决算情况说明</w:t>
      </w:r>
      <w:bookmarkEnd w:id="16"/>
    </w:p>
    <w:p>
      <w:pPr>
        <w:spacing w:line="58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2021年度收入合计</w:t>
      </w:r>
      <w:r>
        <w:rPr>
          <w:rFonts w:hint="eastAsia" w:ascii="仿宋_GB2312" w:hAnsi="仿宋_GB2312" w:eastAsia="仿宋_GB2312" w:cs="仿宋_GB2312"/>
          <w:bCs/>
          <w:sz w:val="32"/>
          <w:szCs w:val="32"/>
          <w:lang w:val="en-US" w:eastAsia="zh-CN"/>
        </w:rPr>
        <w:t>211.6</w:t>
      </w:r>
      <w:r>
        <w:rPr>
          <w:rFonts w:hint="eastAsia" w:ascii="仿宋_GB2312" w:hAnsi="仿宋_GB2312" w:eastAsia="仿宋_GB2312" w:cs="仿宋_GB2312"/>
          <w:bCs/>
          <w:sz w:val="32"/>
          <w:szCs w:val="32"/>
        </w:rPr>
        <w:t>万元，其中财政拨款收入</w:t>
      </w:r>
      <w:r>
        <w:rPr>
          <w:rFonts w:hint="eastAsia" w:ascii="仿宋_GB2312" w:hAnsi="仿宋_GB2312" w:eastAsia="仿宋_GB2312" w:cs="仿宋_GB2312"/>
          <w:bCs/>
          <w:sz w:val="32"/>
          <w:szCs w:val="32"/>
          <w:lang w:val="en-US" w:eastAsia="zh-CN"/>
        </w:rPr>
        <w:t>211.6</w:t>
      </w:r>
      <w:r>
        <w:rPr>
          <w:rFonts w:hint="eastAsia" w:ascii="仿宋_GB2312" w:hAnsi="仿宋_GB2312" w:eastAsia="仿宋_GB2312" w:cs="仿宋_GB2312"/>
          <w:bCs/>
          <w:sz w:val="32"/>
          <w:szCs w:val="32"/>
        </w:rPr>
        <w:t>万元,</w:t>
      </w:r>
      <w:r>
        <w:rPr>
          <w:rFonts w:hint="eastAsia" w:ascii="仿宋_GB2312" w:hAnsi="仿宋_GB2312" w:eastAsia="仿宋_GB2312" w:cs="仿宋_GB2312"/>
          <w:bCs/>
          <w:sz w:val="32"/>
          <w:szCs w:val="32"/>
          <w:lang w:val="en-US" w:eastAsia="zh-CN"/>
        </w:rPr>
        <w:t>占比100%。</w:t>
      </w:r>
    </w:p>
    <w:p>
      <w:pPr>
        <w:pStyle w:val="3"/>
        <w:bidi w:val="0"/>
        <w:ind w:firstLine="640" w:firstLineChars="200"/>
        <w:rPr>
          <w:rFonts w:hint="eastAsia"/>
          <w:b w:val="0"/>
          <w:bCs/>
          <w:lang w:val="en-US" w:eastAsia="zh-CN"/>
        </w:rPr>
      </w:pPr>
      <w:bookmarkStart w:id="17" w:name="_Toc18795"/>
      <w:r>
        <w:rPr>
          <w:rFonts w:hint="eastAsia"/>
          <w:b w:val="0"/>
          <w:bCs/>
          <w:lang w:val="en-US" w:eastAsia="zh-CN"/>
        </w:rPr>
        <w:t>三、支出决算情况说明</w:t>
      </w:r>
      <w:bookmarkEnd w:id="17"/>
    </w:p>
    <w:p>
      <w:pPr>
        <w:spacing w:line="58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2021年度支出合计211.6万元，其中：基本支出0万元，占比0%；项目支出211.6万元，占比100%；</w:t>
      </w:r>
    </w:p>
    <w:p>
      <w:pPr>
        <w:pStyle w:val="3"/>
        <w:bidi w:val="0"/>
        <w:ind w:firstLine="640" w:firstLineChars="200"/>
        <w:rPr>
          <w:rFonts w:hint="eastAsia"/>
          <w:b w:val="0"/>
          <w:bCs/>
          <w:lang w:val="en-US" w:eastAsia="zh-CN"/>
        </w:rPr>
      </w:pPr>
      <w:bookmarkStart w:id="18" w:name="_Toc18092"/>
      <w:r>
        <w:rPr>
          <w:rFonts w:hint="eastAsia"/>
          <w:b w:val="0"/>
          <w:bCs/>
          <w:lang w:val="en-US" w:eastAsia="zh-CN"/>
        </w:rPr>
        <w:t>四、财政拨款收入支出决算总体情况说明</w:t>
      </w:r>
      <w:bookmarkEnd w:id="18"/>
    </w:p>
    <w:p>
      <w:pPr>
        <w:spacing w:line="580" w:lineRule="exact"/>
        <w:ind w:firstLine="640" w:firstLineChars="200"/>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2021年度财政拨款收入总计211.6万元，支出总计211.6万元，与上年比，财政拨款收入总计减少60.5万元，下降22.23%，财政拨款支出总计减少60.5万元，下降22.23%。主要原因是减少了医疗监区运行费和人犯经费。</w:t>
      </w:r>
    </w:p>
    <w:p>
      <w:pPr>
        <w:pStyle w:val="9"/>
        <w:numPr>
          <w:ilvl w:val="0"/>
          <w:numId w:val="0"/>
        </w:numPr>
        <w:spacing w:line="580" w:lineRule="exact"/>
        <w:ind w:left="638" w:leftChars="304" w:firstLine="0" w:firstLineChars="0"/>
        <w:outlineLvl w:val="1"/>
        <w:rPr>
          <w:rFonts w:hint="eastAsia" w:ascii="黑体" w:hAnsi="黑体" w:eastAsia="黑体" w:cs="黑体"/>
          <w:b w:val="0"/>
          <w:bCs w:val="0"/>
          <w:sz w:val="32"/>
          <w:szCs w:val="32"/>
          <w:lang w:val="en-US" w:eastAsia="zh-CN"/>
        </w:rPr>
      </w:pPr>
      <w:bookmarkStart w:id="19" w:name="_Toc25323"/>
      <w:r>
        <w:rPr>
          <w:rStyle w:val="10"/>
          <w:rFonts w:hint="eastAsia"/>
          <w:b w:val="0"/>
          <w:bCs/>
          <w:lang w:val="en-US" w:eastAsia="zh-CN"/>
        </w:rPr>
        <w:t>五、一般公共预算财政拨款支出决算情况说明</w:t>
      </w:r>
      <w:r>
        <w:rPr>
          <w:rFonts w:hint="eastAsia" w:ascii="宋体" w:hAnsi="宋体" w:cs="宋体"/>
          <w:b/>
          <w:bCs/>
          <w:sz w:val="32"/>
          <w:szCs w:val="32"/>
        </w:rPr>
        <w:br w:type="textWrapping"/>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lang w:eastAsia="zh-CN"/>
        </w:rPr>
        <w:t>）</w:t>
      </w:r>
      <w:r>
        <w:rPr>
          <w:rFonts w:hint="eastAsia" w:ascii="黑体" w:hAnsi="黑体" w:eastAsia="黑体" w:cs="黑体"/>
          <w:b w:val="0"/>
          <w:bCs w:val="0"/>
          <w:sz w:val="32"/>
          <w:szCs w:val="32"/>
          <w:lang w:val="en-US" w:eastAsia="zh-CN"/>
        </w:rPr>
        <w:t>财政拨款支出决算总体情况</w:t>
      </w:r>
      <w:bookmarkEnd w:id="19"/>
    </w:p>
    <w:p>
      <w:pPr>
        <w:spacing w:line="580" w:lineRule="exact"/>
        <w:ind w:firstLine="640" w:firstLineChars="200"/>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2021年度财政拨款支出211.6万元，占本年支出合计的100%。与上年相比，财政拨款支出减少60.5万元，下降22.23%。主要原因是减少了医疗监区运行费和人犯经费。</w:t>
      </w:r>
    </w:p>
    <w:p>
      <w:pPr>
        <w:spacing w:line="580" w:lineRule="exact"/>
        <w:ind w:firstLine="640" w:firstLineChars="200"/>
        <w:rPr>
          <w:rFonts w:hint="eastAsia" w:ascii="宋体" w:hAnsi="宋体" w:cs="宋体"/>
          <w:bCs/>
          <w:sz w:val="32"/>
          <w:szCs w:val="32"/>
          <w:lang w:val="en-US" w:eastAsia="zh-CN"/>
        </w:rPr>
      </w:pPr>
    </w:p>
    <w:p>
      <w:pPr>
        <w:numPr>
          <w:ilvl w:val="0"/>
          <w:numId w:val="3"/>
        </w:numPr>
        <w:spacing w:line="580" w:lineRule="exact"/>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财政拨款支出决算结构情况</w:t>
      </w:r>
    </w:p>
    <w:p>
      <w:pPr>
        <w:spacing w:line="580" w:lineRule="exact"/>
        <w:ind w:firstLine="640" w:firstLineChars="200"/>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2021年度财政拨款支出211.6万元，主要用于以下方面：公共安全支出211.6万元，占100%。</w:t>
      </w:r>
      <w:r>
        <w:rPr>
          <w:rFonts w:hint="eastAsia" w:ascii="仿宋_GB2312" w:hAnsi="仿宋_GB2312" w:eastAsia="仿宋_GB2312" w:cs="仿宋_GB2312"/>
          <w:bCs/>
          <w:sz w:val="32"/>
          <w:szCs w:val="32"/>
          <w:lang w:val="en-US" w:eastAsia="zh-CN"/>
        </w:rPr>
        <w:br w:type="textWrapping"/>
      </w:r>
      <w:r>
        <w:rPr>
          <w:rFonts w:hint="eastAsia" w:ascii="宋体" w:hAnsi="宋体" w:cs="宋体"/>
          <w:b w:val="0"/>
          <w:bCs/>
          <w:sz w:val="32"/>
          <w:szCs w:val="32"/>
          <w:lang w:val="en-US" w:eastAsia="zh-CN"/>
        </w:rPr>
        <w:t xml:space="preserve">     </w:t>
      </w:r>
      <w:r>
        <w:rPr>
          <w:rFonts w:hint="eastAsia" w:ascii="黑体" w:hAnsi="黑体" w:eastAsia="黑体" w:cs="黑体"/>
          <w:b w:val="0"/>
          <w:bCs/>
          <w:sz w:val="32"/>
          <w:szCs w:val="32"/>
          <w:lang w:val="en-US" w:eastAsia="zh-CN"/>
        </w:rPr>
        <w:t>（三）财政拨款支出决算具体情况</w:t>
      </w:r>
      <w:r>
        <w:rPr>
          <w:rFonts w:hint="eastAsia" w:ascii="黑体" w:hAnsi="黑体" w:eastAsia="黑体" w:cs="黑体"/>
          <w:b w:val="0"/>
          <w:bCs/>
          <w:sz w:val="32"/>
          <w:szCs w:val="32"/>
          <w:lang w:val="en-US" w:eastAsia="zh-CN"/>
        </w:rPr>
        <w:br w:type="textWrapping"/>
      </w: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Cs/>
          <w:sz w:val="32"/>
          <w:szCs w:val="32"/>
          <w:lang w:val="en-US" w:eastAsia="zh-CN"/>
        </w:rPr>
        <w:t xml:space="preserve"> 2021年度财政拨款支出年初预算243.1万元，支出决算211.6万元，完成年初预算的87.04%。公共安全支出年初预算243.1万元，支出决算211.6万元，完成年初预算的87.04%，用于人犯经费和专项业务费。较上年决算减少60.5万元，下降22.23%，主要原因是减少了医疗监区运行费和人犯经费。</w:t>
      </w:r>
    </w:p>
    <w:p>
      <w:pPr>
        <w:pStyle w:val="3"/>
        <w:bidi w:val="0"/>
        <w:ind w:firstLine="640" w:firstLineChars="200"/>
        <w:rPr>
          <w:rFonts w:hint="eastAsia"/>
          <w:b w:val="0"/>
          <w:bCs/>
          <w:lang w:val="en-US" w:eastAsia="zh-CN"/>
        </w:rPr>
      </w:pPr>
      <w:bookmarkStart w:id="20" w:name="_Toc31126"/>
      <w:r>
        <w:rPr>
          <w:rFonts w:hint="eastAsia"/>
          <w:b w:val="0"/>
          <w:bCs/>
          <w:lang w:val="en-US" w:eastAsia="zh-CN"/>
        </w:rPr>
        <w:t>六、一般公共预算财政拨款基本支出决算情况说明</w:t>
      </w:r>
      <w:bookmarkEnd w:id="20"/>
    </w:p>
    <w:p>
      <w:pPr>
        <w:pStyle w:val="9"/>
        <w:numPr>
          <w:ilvl w:val="0"/>
          <w:numId w:val="0"/>
        </w:numPr>
        <w:spacing w:line="240" w:lineRule="auto"/>
        <w:ind w:firstLine="640" w:firstLineChars="200"/>
        <w:rPr>
          <w:rFonts w:hint="default" w:ascii="宋体" w:hAnsi="宋体" w:cs="宋体"/>
          <w:b w:val="0"/>
          <w:bCs/>
          <w:sz w:val="32"/>
          <w:szCs w:val="32"/>
          <w:lang w:val="en-US" w:eastAsia="zh-CN"/>
        </w:rPr>
      </w:pPr>
      <w:r>
        <w:rPr>
          <w:rFonts w:hint="eastAsia" w:ascii="仿宋_GB2312" w:hAnsi="仿宋_GB2312" w:eastAsia="仿宋_GB2312" w:cs="仿宋_GB2312"/>
          <w:bCs/>
          <w:kern w:val="2"/>
          <w:sz w:val="32"/>
          <w:szCs w:val="32"/>
          <w:lang w:val="en-US" w:eastAsia="zh-CN" w:bidi="ar-SA"/>
        </w:rPr>
        <w:t>2021年度财政拨款基本支出0万元，本单位全部为项目支出。</w:t>
      </w:r>
    </w:p>
    <w:p>
      <w:pPr>
        <w:pStyle w:val="3"/>
        <w:bidi w:val="0"/>
        <w:ind w:firstLine="640" w:firstLineChars="200"/>
        <w:rPr>
          <w:rFonts w:hint="eastAsia"/>
          <w:b w:val="0"/>
          <w:bCs/>
          <w:lang w:val="en-US" w:eastAsia="zh-CN"/>
        </w:rPr>
      </w:pPr>
      <w:bookmarkStart w:id="21" w:name="_Toc15632"/>
      <w:r>
        <w:rPr>
          <w:rFonts w:hint="eastAsia"/>
          <w:b w:val="0"/>
          <w:bCs/>
          <w:lang w:val="en-US" w:eastAsia="zh-CN"/>
        </w:rPr>
        <w:t>七、一般公共预算财政拨款“三公”经费支出决算情况说明</w:t>
      </w:r>
      <w:bookmarkEnd w:id="21"/>
    </w:p>
    <w:p>
      <w:pPr>
        <w:keepNext w:val="0"/>
        <w:keepLines w:val="0"/>
        <w:pageBreakBefore w:val="0"/>
        <w:widowControl w:val="0"/>
        <w:kinsoku/>
        <w:wordWrap/>
        <w:overflowPunct/>
        <w:topLinePunct w:val="0"/>
        <w:autoSpaceDE w:val="0"/>
        <w:autoSpaceDN w:val="0"/>
        <w:bidi w:val="0"/>
        <w:adjustRightInd/>
        <w:snapToGrid/>
        <w:spacing w:before="112" w:line="500" w:lineRule="exact"/>
        <w:ind w:right="312" w:firstLine="640" w:firstLineChars="200"/>
        <w:jc w:val="both"/>
        <w:textAlignment w:val="auto"/>
        <w:rPr>
          <w:rFonts w:hint="default"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2021年大同市第二看守所向财政</w:t>
      </w:r>
      <w:bookmarkStart w:id="26" w:name="_GoBack"/>
      <w:bookmarkEnd w:id="26"/>
      <w:r>
        <w:rPr>
          <w:rFonts w:hint="eastAsia" w:ascii="仿宋_GB2312" w:hAnsi="仿宋_GB2312" w:eastAsia="仿宋_GB2312" w:cs="仿宋_GB2312"/>
          <w:bCs/>
          <w:kern w:val="2"/>
          <w:sz w:val="32"/>
          <w:szCs w:val="32"/>
          <w:lang w:val="en-US" w:eastAsia="zh-CN" w:bidi="ar-SA"/>
        </w:rPr>
        <w:t>申请了专项经费，为人犯经费（伙食费）和人犯经费（公杂费），因公出国（境）费、公务接待费、公务用车购置费及公务用车运行维护费已包含在市公安局本级决算中。</w:t>
      </w:r>
    </w:p>
    <w:p>
      <w:pPr>
        <w:pStyle w:val="3"/>
        <w:bidi w:val="0"/>
        <w:ind w:firstLine="640" w:firstLineChars="200"/>
        <w:rPr>
          <w:rFonts w:hint="eastAsia"/>
          <w:b w:val="0"/>
          <w:bCs/>
          <w:lang w:val="en-US" w:eastAsia="zh-CN"/>
        </w:rPr>
      </w:pPr>
      <w:bookmarkStart w:id="22" w:name="_Toc16158"/>
      <w:r>
        <w:rPr>
          <w:rFonts w:hint="eastAsia"/>
          <w:b w:val="0"/>
          <w:bCs/>
          <w:lang w:val="en-US" w:eastAsia="zh-CN"/>
        </w:rPr>
        <w:t>八、其他重要事项情况说明</w:t>
      </w:r>
      <w:bookmarkEnd w:id="22"/>
    </w:p>
    <w:p>
      <w:pPr>
        <w:pStyle w:val="9"/>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（一）机关运行经费支出情况说明</w:t>
      </w:r>
    </w:p>
    <w:p>
      <w:pPr>
        <w:pStyle w:val="9"/>
        <w:numPr>
          <w:ilvl w:val="0"/>
          <w:numId w:val="0"/>
        </w:numPr>
        <w:spacing w:line="240" w:lineRule="auto"/>
        <w:rPr>
          <w:rFonts w:hint="eastAsia" w:ascii="仿宋_GB2312" w:hAnsi="仿宋_GB2312" w:eastAsia="仿宋_GB2312" w:cs="仿宋_GB2312"/>
          <w:bCs/>
          <w:kern w:val="2"/>
          <w:sz w:val="32"/>
          <w:szCs w:val="32"/>
          <w:lang w:val="en-US" w:eastAsia="zh-CN" w:bidi="ar-SA"/>
        </w:rPr>
      </w:pPr>
      <w:r>
        <w:rPr>
          <w:rFonts w:hint="eastAsia" w:ascii="宋体" w:hAnsi="宋体" w:cs="宋体"/>
          <w:b w:val="0"/>
          <w:bCs/>
          <w:sz w:val="32"/>
          <w:szCs w:val="32"/>
          <w:lang w:val="en-US" w:eastAsia="zh-CN"/>
        </w:rPr>
        <w:t xml:space="preserve">     </w:t>
      </w:r>
      <w:r>
        <w:rPr>
          <w:rFonts w:hint="eastAsia" w:ascii="仿宋_GB2312" w:hAnsi="仿宋_GB2312" w:eastAsia="仿宋_GB2312" w:cs="仿宋_GB2312"/>
          <w:bCs/>
          <w:kern w:val="2"/>
          <w:sz w:val="32"/>
          <w:szCs w:val="32"/>
          <w:lang w:val="en-US" w:eastAsia="zh-CN" w:bidi="ar-SA"/>
        </w:rPr>
        <w:t>本单位无机关运行经费，由市公安局保障。</w:t>
      </w:r>
    </w:p>
    <w:p>
      <w:pPr>
        <w:pStyle w:val="9"/>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（二）政府采购情况说明</w:t>
      </w:r>
    </w:p>
    <w:p>
      <w:pPr>
        <w:pStyle w:val="9"/>
        <w:numPr>
          <w:ilvl w:val="0"/>
          <w:numId w:val="0"/>
        </w:numPr>
        <w:spacing w:line="240" w:lineRule="auto"/>
        <w:ind w:leftChars="200"/>
        <w:rPr>
          <w:rFonts w:hint="default" w:ascii="宋体" w:hAnsi="宋体" w:cs="宋体"/>
          <w:b w:val="0"/>
          <w:bCs/>
          <w:sz w:val="32"/>
          <w:szCs w:val="32"/>
          <w:lang w:val="en-US" w:eastAsia="zh-CN"/>
        </w:rPr>
      </w:pP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Cs/>
          <w:kern w:val="2"/>
          <w:sz w:val="32"/>
          <w:szCs w:val="32"/>
          <w:lang w:val="en-US" w:eastAsia="zh-CN" w:bidi="ar-SA"/>
        </w:rPr>
        <w:t xml:space="preserve"> 2021年度政府采购支出总额无支出。</w:t>
      </w:r>
    </w:p>
    <w:p>
      <w:pPr>
        <w:pStyle w:val="9"/>
        <w:numPr>
          <w:ilvl w:val="0"/>
          <w:numId w:val="0"/>
        </w:numPr>
        <w:spacing w:line="240" w:lineRule="auto"/>
        <w:ind w:firstLine="640" w:firstLine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（三）国有资产占用情况说明</w:t>
      </w:r>
    </w:p>
    <w:p>
      <w:pPr>
        <w:pStyle w:val="9"/>
        <w:numPr>
          <w:ilvl w:val="0"/>
          <w:numId w:val="0"/>
        </w:numPr>
        <w:spacing w:line="240" w:lineRule="auto"/>
        <w:ind w:leftChars="200"/>
        <w:rPr>
          <w:rFonts w:hint="eastAsia" w:ascii="仿宋_GB2312" w:hAnsi="仿宋_GB2312" w:eastAsia="仿宋_GB2312" w:cs="仿宋_GB2312"/>
          <w:bCs/>
          <w:kern w:val="2"/>
          <w:sz w:val="32"/>
          <w:szCs w:val="32"/>
          <w:lang w:val="en-US" w:eastAsia="zh-CN" w:bidi="ar-SA"/>
        </w:rPr>
      </w:pPr>
      <w:r>
        <w:rPr>
          <w:rFonts w:hint="eastAsia" w:ascii="黑体" w:hAnsi="黑体" w:eastAsia="黑体" w:cs="黑体"/>
          <w:b w:val="0"/>
          <w:bCs/>
          <w:sz w:val="32"/>
          <w:szCs w:val="32"/>
          <w:lang w:val="en-US" w:eastAsia="zh-CN"/>
        </w:rPr>
        <w:t xml:space="preserve">  </w:t>
      </w:r>
      <w:r>
        <w:rPr>
          <w:rFonts w:hint="eastAsia" w:ascii="仿宋_GB2312" w:hAnsi="仿宋_GB2312" w:eastAsia="仿宋_GB2312" w:cs="仿宋_GB2312"/>
          <w:bCs/>
          <w:kern w:val="2"/>
          <w:sz w:val="32"/>
          <w:szCs w:val="32"/>
          <w:lang w:val="en-US" w:eastAsia="zh-CN" w:bidi="ar-SA"/>
        </w:rPr>
        <w:t xml:space="preserve"> 本单位国有资产全部计入大同市公安局本级。</w:t>
      </w:r>
    </w:p>
    <w:p>
      <w:pPr>
        <w:pStyle w:val="9"/>
        <w:numPr>
          <w:ilvl w:val="0"/>
          <w:numId w:val="0"/>
        </w:numPr>
        <w:spacing w:line="240" w:lineRule="auto"/>
        <w:ind w:leftChars="20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 xml:space="preserve"> （四）预算绩效情况说明</w:t>
      </w:r>
    </w:p>
    <w:p>
      <w:pPr>
        <w:numPr>
          <w:ilvl w:val="0"/>
          <w:numId w:val="0"/>
        </w:numPr>
        <w:spacing w:line="240" w:lineRule="auto"/>
        <w:ind w:firstLine="640" w:firstLineChars="200"/>
        <w:rPr>
          <w:rFonts w:hint="eastAsia" w:ascii="黑体" w:hAnsi="黑体" w:eastAsia="黑体" w:cs="黑体"/>
          <w:bCs/>
          <w:sz w:val="32"/>
          <w:szCs w:val="32"/>
          <w:lang w:val="en-US" w:eastAsia="zh-CN"/>
        </w:rPr>
      </w:pP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1</w:t>
      </w:r>
      <w:r>
        <w:rPr>
          <w:rFonts w:hint="eastAsia" w:ascii="黑体" w:hAnsi="黑体" w:eastAsia="黑体" w:cs="黑体"/>
          <w:bCs/>
          <w:sz w:val="32"/>
          <w:szCs w:val="32"/>
          <w:lang w:eastAsia="zh-CN"/>
        </w:rPr>
        <w:t>）</w:t>
      </w:r>
      <w:r>
        <w:rPr>
          <w:rFonts w:hint="eastAsia" w:ascii="黑体" w:hAnsi="黑体" w:eastAsia="黑体" w:cs="黑体"/>
          <w:bCs/>
          <w:sz w:val="32"/>
          <w:szCs w:val="32"/>
          <w:lang w:val="en-US" w:eastAsia="zh-CN"/>
        </w:rPr>
        <w:t>预算绩效管理工作开展情况。</w:t>
      </w:r>
    </w:p>
    <w:p>
      <w:pPr>
        <w:numPr>
          <w:ilvl w:val="0"/>
          <w:numId w:val="0"/>
        </w:numPr>
        <w:spacing w:line="240" w:lineRule="auto"/>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根据预算绩效管理要求，我部门组织对2021年度市级财政预算安排的专项资金类2个项目支出全面开展绩效自评，涉及预算资金211.6万元，占一般公共预算项目支出的总额的100%。</w:t>
      </w:r>
    </w:p>
    <w:p>
      <w:pPr>
        <w:numPr>
          <w:ilvl w:val="0"/>
          <w:numId w:val="0"/>
        </w:numPr>
        <w:spacing w:line="240" w:lineRule="auto"/>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组织对“人犯经费”和“专项业务费”开展了重点绩效评价。从评价情况来看，保障了羁押场所人员的安全，保障了羁押场所的正常运行，为维护社会稳定，打击犯罪提供了有力支撑。</w:t>
      </w:r>
    </w:p>
    <w:p>
      <w:pPr>
        <w:pStyle w:val="9"/>
        <w:numPr>
          <w:ilvl w:val="0"/>
          <w:numId w:val="0"/>
        </w:numPr>
        <w:spacing w:line="580" w:lineRule="exact"/>
        <w:ind w:left="840" w:leftChars="0"/>
        <w:rPr>
          <w:rFonts w:ascii="宋体" w:hAnsi="宋体" w:cs="宋体"/>
          <w:b/>
          <w:bCs/>
          <w:sz w:val="32"/>
          <w:szCs w:val="32"/>
        </w:rPr>
      </w:pPr>
      <w:r>
        <w:rPr>
          <w:rFonts w:hint="eastAsia" w:ascii="宋体" w:hAnsi="宋体" w:cs="宋体"/>
          <w:b/>
          <w:bCs/>
          <w:sz w:val="32"/>
          <w:szCs w:val="32"/>
          <w:lang w:eastAsia="zh-CN"/>
        </w:rPr>
        <w:t>（</w:t>
      </w:r>
      <w:r>
        <w:rPr>
          <w:rFonts w:hint="eastAsia" w:ascii="宋体" w:hAnsi="宋体" w:cs="宋体"/>
          <w:b/>
          <w:bCs/>
          <w:sz w:val="32"/>
          <w:szCs w:val="32"/>
          <w:lang w:val="en-US" w:eastAsia="zh-CN"/>
        </w:rPr>
        <w:t>2</w:t>
      </w:r>
      <w:r>
        <w:rPr>
          <w:rFonts w:hint="eastAsia" w:ascii="宋体" w:hAnsi="宋体" w:cs="宋体"/>
          <w:b/>
          <w:bCs/>
          <w:sz w:val="32"/>
          <w:szCs w:val="32"/>
          <w:lang w:eastAsia="zh-CN"/>
        </w:rPr>
        <w:t>）</w:t>
      </w:r>
      <w:r>
        <w:rPr>
          <w:rFonts w:hint="eastAsia" w:ascii="宋体" w:hAnsi="宋体" w:cs="宋体"/>
          <w:b/>
          <w:bCs/>
          <w:sz w:val="32"/>
          <w:szCs w:val="32"/>
        </w:rPr>
        <w:t>部门决算中项目绩效自评结果。</w:t>
      </w:r>
    </w:p>
    <w:p>
      <w:pPr>
        <w:numPr>
          <w:ilvl w:val="0"/>
          <w:numId w:val="0"/>
        </w:numPr>
        <w:spacing w:line="240" w:lineRule="auto"/>
        <w:ind w:firstLine="640" w:firstLineChars="2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1、人犯经费自评综述：根据年初设定的绩效目标，项目自评得分为90分。全年预算数为206.1万元，执行数为206.1万元，完成预算的100%。项目绩效目标完成情况：看押人员的日常消耗品、药品等物资保障。</w:t>
      </w:r>
    </w:p>
    <w:p>
      <w:pPr>
        <w:numPr>
          <w:ilvl w:val="0"/>
          <w:numId w:val="0"/>
        </w:numPr>
        <w:spacing w:line="240" w:lineRule="auto"/>
        <w:ind w:firstLine="640" w:firstLineChars="200"/>
        <w:rPr>
          <w:rFonts w:hint="eastAsia" w:ascii="仿宋_GB2312" w:hAnsi="仿宋_GB2312" w:eastAsia="仿宋_GB2312" w:cs="仿宋_GB2312"/>
          <w:bCs/>
          <w:kern w:val="2"/>
          <w:sz w:val="32"/>
          <w:szCs w:val="32"/>
          <w:lang w:val="en-US" w:eastAsia="zh-CN" w:bidi="ar-SA"/>
        </w:rPr>
      </w:pPr>
    </w:p>
    <w:tbl>
      <w:tblPr>
        <w:tblStyle w:val="7"/>
        <w:tblW w:w="9080" w:type="dxa"/>
        <w:jc w:val="center"/>
        <w:tblLayout w:type="fixed"/>
        <w:tblCellMar>
          <w:top w:w="0" w:type="dxa"/>
          <w:left w:w="108" w:type="dxa"/>
          <w:bottom w:w="0" w:type="dxa"/>
          <w:right w:w="108" w:type="dxa"/>
        </w:tblCellMar>
      </w:tblPr>
      <w:tblGrid>
        <w:gridCol w:w="588"/>
        <w:gridCol w:w="980"/>
        <w:gridCol w:w="66"/>
        <w:gridCol w:w="1046"/>
        <w:gridCol w:w="730"/>
        <w:gridCol w:w="1134"/>
        <w:gridCol w:w="521"/>
        <w:gridCol w:w="851"/>
        <w:gridCol w:w="850"/>
        <w:gridCol w:w="46"/>
        <w:gridCol w:w="521"/>
        <w:gridCol w:w="188"/>
        <w:gridCol w:w="237"/>
        <w:gridCol w:w="614"/>
        <w:gridCol w:w="708"/>
      </w:tblGrid>
      <w:tr>
        <w:tblPrEx>
          <w:tblCellMar>
            <w:top w:w="0" w:type="dxa"/>
            <w:left w:w="108" w:type="dxa"/>
            <w:bottom w:w="0" w:type="dxa"/>
            <w:right w:w="108" w:type="dxa"/>
          </w:tblCellMar>
        </w:tblPrEx>
        <w:trPr>
          <w:trHeight w:val="529" w:hRule="exact"/>
          <w:jc w:val="center"/>
        </w:trPr>
        <w:tc>
          <w:tcPr>
            <w:tcW w:w="9080" w:type="dxa"/>
            <w:gridSpan w:val="15"/>
            <w:tcBorders>
              <w:top w:val="nil"/>
              <w:left w:val="nil"/>
              <w:bottom w:val="nil"/>
              <w:right w:val="nil"/>
            </w:tcBorders>
            <w:vAlign w:val="center"/>
          </w:tcPr>
          <w:p>
            <w:pPr>
              <w:widowControl/>
              <w:spacing w:line="320" w:lineRule="exact"/>
              <w:jc w:val="center"/>
              <w:rPr>
                <w:rFonts w:ascii="宋体" w:hAnsi="宋体" w:cs="宋体"/>
                <w:b/>
                <w:bCs/>
                <w:kern w:val="0"/>
                <w:sz w:val="32"/>
                <w:szCs w:val="32"/>
              </w:rPr>
            </w:pPr>
            <w:r>
              <w:rPr>
                <w:rFonts w:hint="eastAsia" w:ascii="华文中宋" w:hAnsi="华文中宋" w:eastAsia="华文中宋" w:cs="华文中宋"/>
                <w:b/>
                <w:bCs/>
                <w:kern w:val="0"/>
                <w:sz w:val="28"/>
                <w:szCs w:val="28"/>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5"/>
            <w:tcBorders>
              <w:top w:val="nil"/>
              <w:left w:val="nil"/>
              <w:bottom w:val="nil"/>
              <w:right w:val="nil"/>
            </w:tcBorders>
          </w:tcPr>
          <w:p>
            <w:pPr>
              <w:widowControl/>
              <w:rPr>
                <w:rFonts w:ascii="宋体" w:hAnsi="宋体" w:cs="宋体"/>
                <w:kern w:val="0"/>
                <w:sz w:val="22"/>
                <w:szCs w:val="22"/>
              </w:rPr>
            </w:pPr>
            <w:r>
              <w:rPr>
                <w:rFonts w:hint="eastAsia" w:ascii="宋体" w:hAnsi="宋体" w:cs="宋体"/>
                <w:kern w:val="0"/>
                <w:sz w:val="22"/>
                <w:szCs w:val="22"/>
              </w:rPr>
              <w:t>填列单位（公章）：                （  2021 年度）</w:t>
            </w:r>
          </w:p>
        </w:tc>
      </w:tr>
      <w:tr>
        <w:tblPrEx>
          <w:tblCellMar>
            <w:top w:w="0" w:type="dxa"/>
            <w:left w:w="108" w:type="dxa"/>
            <w:bottom w:w="0" w:type="dxa"/>
            <w:right w:w="108" w:type="dxa"/>
          </w:tblCellMar>
        </w:tblPrEx>
        <w:trPr>
          <w:trHeight w:val="32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51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人犯经费</w:t>
            </w:r>
          </w:p>
        </w:tc>
      </w:tr>
      <w:tr>
        <w:tblPrEx>
          <w:tblCellMar>
            <w:top w:w="0" w:type="dxa"/>
            <w:left w:w="108" w:type="dxa"/>
            <w:bottom w:w="0" w:type="dxa"/>
            <w:right w:w="108" w:type="dxa"/>
          </w:tblCellMar>
        </w:tblPrEx>
        <w:trPr>
          <w:trHeight w:val="380" w:hRule="exact"/>
          <w:jc w:val="center"/>
        </w:trPr>
        <w:tc>
          <w:tcPr>
            <w:tcW w:w="156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34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大同市公安局</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6"/>
                <w:szCs w:val="16"/>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rPr>
              <w:t>大同市</w:t>
            </w:r>
            <w:r>
              <w:rPr>
                <w:rFonts w:hint="eastAsia" w:ascii="宋体" w:hAnsi="宋体" w:cs="宋体"/>
                <w:kern w:val="0"/>
                <w:sz w:val="18"/>
                <w:szCs w:val="18"/>
                <w:lang w:val="en-US" w:eastAsia="zh-CN"/>
              </w:rPr>
              <w:t>第二看守所</w:t>
            </w:r>
          </w:p>
        </w:tc>
      </w:tr>
      <w:tr>
        <w:tblPrEx>
          <w:tblCellMar>
            <w:top w:w="0" w:type="dxa"/>
            <w:left w:w="108" w:type="dxa"/>
            <w:bottom w:w="0" w:type="dxa"/>
            <w:right w:w="108" w:type="dxa"/>
          </w:tblCellMar>
        </w:tblPrEx>
        <w:trPr>
          <w:trHeight w:val="300"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项目资金</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206.1</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206.1</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206.1</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84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tblPrEx>
          <w:tblCellMar>
            <w:top w:w="0" w:type="dxa"/>
            <w:left w:w="108" w:type="dxa"/>
            <w:bottom w:w="0" w:type="dxa"/>
            <w:right w:w="108" w:type="dxa"/>
          </w:tblCellMar>
        </w:tblPrEx>
        <w:trPr>
          <w:trHeight w:val="597" w:hRule="exact"/>
          <w:jc w:val="center"/>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保障在押人员合法权益</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保障了在押人员的基本物资需求</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指</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标</w:t>
            </w:r>
          </w:p>
        </w:tc>
        <w:tc>
          <w:tcPr>
            <w:tcW w:w="98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111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在押人员数量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不公开</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不公开</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保障</w:t>
            </w:r>
            <w:r>
              <w:rPr>
                <w:rFonts w:hint="eastAsia" w:ascii="宋体" w:hAnsi="宋体" w:cs="宋体"/>
                <w:color w:val="000000"/>
                <w:kern w:val="0"/>
                <w:sz w:val="18"/>
                <w:szCs w:val="18"/>
                <w:lang w:val="en-US" w:eastAsia="zh-CN"/>
              </w:rPr>
              <w:t>在押人员合法权益</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74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按序时进度支付</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项目预算</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206.1</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206.1</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6"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维护</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稳定</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9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79"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1112"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w:t>
            </w: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在押人员</w:t>
            </w:r>
            <w:r>
              <w:rPr>
                <w:rFonts w:hint="eastAsia" w:ascii="宋体" w:hAnsi="宋体" w:cs="宋体"/>
                <w:color w:val="000000"/>
                <w:kern w:val="0"/>
                <w:sz w:val="18"/>
                <w:szCs w:val="18"/>
              </w:rPr>
              <w:t>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w:t>
            </w:r>
            <w:r>
              <w:rPr>
                <w:rFonts w:hint="eastAsia" w:ascii="宋体" w:hAnsi="宋体" w:cs="宋体"/>
                <w:kern w:val="0"/>
                <w:sz w:val="18"/>
                <w:szCs w:val="18"/>
                <w:lang w:val="en-US" w:eastAsia="zh-CN"/>
              </w:rPr>
              <w:t>0</w:t>
            </w:r>
            <w:r>
              <w:rPr>
                <w:rFonts w:hint="eastAsia" w:ascii="宋体" w:hAnsi="宋体" w:cs="宋体"/>
                <w:kern w:val="0"/>
                <w:sz w:val="18"/>
                <w:szCs w:val="18"/>
              </w:rPr>
              <w:t>%</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lang w:val="en-US" w:eastAsia="zh-CN"/>
              </w:rPr>
              <w:t>89</w:t>
            </w:r>
            <w:r>
              <w:rPr>
                <w:rFonts w:hint="eastAsia" w:ascii="宋体" w:hAnsi="宋体" w:cs="宋体"/>
                <w:kern w:val="0"/>
                <w:sz w:val="18"/>
                <w:szCs w:val="18"/>
              </w:rPr>
              <w:t>%</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98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385"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jc w:val="center"/>
        </w:trPr>
        <w:tc>
          <w:tcPr>
            <w:tcW w:w="6766"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rPr>
              <w:t>9</w:t>
            </w:r>
            <w:r>
              <w:rPr>
                <w:rFonts w:hint="eastAsia" w:ascii="宋体" w:hAnsi="宋体" w:cs="宋体"/>
                <w:color w:val="000000"/>
                <w:kern w:val="0"/>
                <w:sz w:val="18"/>
                <w:szCs w:val="18"/>
                <w:lang w:val="en-US" w:eastAsia="zh-CN"/>
              </w:rPr>
              <w:t>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自评结果分析</w:t>
            </w: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项目实施和预算执行情况及分析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项目用于</w:t>
            </w:r>
            <w:r>
              <w:rPr>
                <w:rFonts w:hint="eastAsia" w:ascii="宋体" w:hAnsi="宋体" w:cs="宋体"/>
                <w:kern w:val="0"/>
                <w:sz w:val="18"/>
                <w:szCs w:val="18"/>
                <w:lang w:val="en-US" w:eastAsia="zh-CN"/>
              </w:rPr>
              <w:t>保障在押人员合法权益</w:t>
            </w:r>
            <w:r>
              <w:rPr>
                <w:rFonts w:hint="eastAsia" w:ascii="宋体" w:hAnsi="宋体" w:cs="宋体"/>
                <w:kern w:val="0"/>
                <w:sz w:val="18"/>
                <w:szCs w:val="18"/>
              </w:rPr>
              <w:t>，全年预算</w:t>
            </w:r>
            <w:r>
              <w:rPr>
                <w:rFonts w:hint="eastAsia" w:ascii="宋体" w:hAnsi="宋体" w:cs="宋体"/>
                <w:kern w:val="0"/>
                <w:sz w:val="18"/>
                <w:szCs w:val="18"/>
                <w:lang w:val="en-US" w:eastAsia="zh-CN"/>
              </w:rPr>
              <w:t>206.1</w:t>
            </w:r>
            <w:r>
              <w:rPr>
                <w:rFonts w:hint="eastAsia" w:ascii="宋体" w:hAnsi="宋体" w:cs="宋体"/>
                <w:kern w:val="0"/>
                <w:sz w:val="18"/>
                <w:szCs w:val="18"/>
              </w:rPr>
              <w:t>万元。全年执行数</w:t>
            </w:r>
            <w:r>
              <w:rPr>
                <w:rFonts w:hint="eastAsia" w:ascii="宋体" w:hAnsi="宋体" w:cs="宋体"/>
                <w:kern w:val="0"/>
                <w:sz w:val="18"/>
                <w:szCs w:val="18"/>
                <w:lang w:val="en-US" w:eastAsia="zh-CN"/>
              </w:rPr>
              <w:t>206.1</w:t>
            </w:r>
            <w:r>
              <w:rPr>
                <w:rFonts w:hint="eastAsia" w:ascii="宋体" w:hAnsi="宋体" w:cs="宋体"/>
                <w:kern w:val="0"/>
                <w:sz w:val="18"/>
                <w:szCs w:val="18"/>
              </w:rPr>
              <w:t>万元,执行率为100%</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产出情况及分析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不适用公开</w:t>
            </w: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效益情况及分析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进一步维护了</w:t>
            </w:r>
            <w:r>
              <w:rPr>
                <w:rFonts w:hint="eastAsia" w:ascii="宋体" w:hAnsi="宋体" w:cs="宋体"/>
                <w:color w:val="000000"/>
                <w:kern w:val="0"/>
                <w:sz w:val="18"/>
                <w:szCs w:val="18"/>
                <w:lang w:val="en-US" w:eastAsia="zh-CN"/>
              </w:rPr>
              <w:t>拘押场所的</w:t>
            </w:r>
            <w:r>
              <w:rPr>
                <w:rFonts w:hint="eastAsia" w:ascii="宋体" w:hAnsi="宋体" w:cs="宋体"/>
                <w:color w:val="000000"/>
                <w:kern w:val="0"/>
                <w:sz w:val="18"/>
                <w:szCs w:val="18"/>
              </w:rPr>
              <w:t>稳定。</w:t>
            </w: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046"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满意度情况及分析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相关人员的满意度达到了</w:t>
            </w:r>
            <w:r>
              <w:rPr>
                <w:rFonts w:hint="eastAsia" w:ascii="宋体" w:hAnsi="宋体" w:cs="宋体"/>
                <w:color w:val="000000"/>
                <w:kern w:val="0"/>
                <w:sz w:val="18"/>
                <w:szCs w:val="18"/>
                <w:lang w:val="en-US" w:eastAsia="zh-CN"/>
              </w:rPr>
              <w:t>90</w:t>
            </w:r>
            <w:r>
              <w:rPr>
                <w:rFonts w:hint="eastAsia" w:ascii="宋体" w:hAnsi="宋体" w:cs="宋体"/>
                <w:color w:val="000000"/>
                <w:kern w:val="0"/>
                <w:sz w:val="18"/>
                <w:szCs w:val="18"/>
              </w:rPr>
              <w:t>%。</w:t>
            </w:r>
          </w:p>
        </w:tc>
      </w:tr>
      <w:tr>
        <w:tblPrEx>
          <w:tblCellMar>
            <w:top w:w="0" w:type="dxa"/>
            <w:left w:w="108" w:type="dxa"/>
            <w:bottom w:w="0" w:type="dxa"/>
            <w:right w:w="108" w:type="dxa"/>
          </w:tblCellMar>
        </w:tblPrEx>
        <w:trPr>
          <w:trHeight w:val="96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主要经验做法</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按照项目资金管理办法执行，专款专用。</w:t>
            </w:r>
          </w:p>
        </w:tc>
      </w:tr>
      <w:tr>
        <w:tblPrEx>
          <w:tblCellMar>
            <w:top w:w="0" w:type="dxa"/>
            <w:left w:w="108" w:type="dxa"/>
            <w:bottom w:w="0" w:type="dxa"/>
            <w:right w:w="108" w:type="dxa"/>
          </w:tblCellMar>
        </w:tblPrEx>
        <w:trPr>
          <w:trHeight w:val="784"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项目管理中存在的</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主要问题及原因分析</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ind w:firstLine="2340" w:firstLineChars="1300"/>
              <w:jc w:val="both"/>
              <w:rPr>
                <w:rFonts w:ascii="宋体" w:hAnsi="宋体" w:cs="宋体"/>
                <w:kern w:val="0"/>
                <w:sz w:val="18"/>
                <w:szCs w:val="18"/>
              </w:rPr>
            </w:pPr>
            <w:r>
              <w:rPr>
                <w:rFonts w:hint="eastAsia" w:ascii="宋体" w:hAnsi="宋体" w:cs="宋体"/>
                <w:kern w:val="0"/>
                <w:sz w:val="18"/>
                <w:szCs w:val="18"/>
              </w:rPr>
              <w:t>加强管理</w:t>
            </w:r>
            <w:r>
              <w:rPr>
                <w:rFonts w:hint="eastAsia" w:ascii="宋体" w:hAnsi="宋体" w:cs="宋体"/>
                <w:kern w:val="0"/>
                <w:sz w:val="18"/>
                <w:szCs w:val="18"/>
                <w:lang w:eastAsia="zh-CN"/>
              </w:rPr>
              <w:t>，</w:t>
            </w:r>
            <w:r>
              <w:rPr>
                <w:rFonts w:hint="eastAsia" w:ascii="宋体" w:hAnsi="宋体" w:cs="宋体"/>
                <w:kern w:val="0"/>
                <w:sz w:val="18"/>
                <w:szCs w:val="18"/>
              </w:rPr>
              <w:t>完善流程。</w:t>
            </w:r>
          </w:p>
        </w:tc>
      </w:tr>
      <w:tr>
        <w:tblPrEx>
          <w:tblCellMar>
            <w:top w:w="0" w:type="dxa"/>
            <w:left w:w="108" w:type="dxa"/>
            <w:bottom w:w="0" w:type="dxa"/>
            <w:right w:w="108" w:type="dxa"/>
          </w:tblCellMar>
        </w:tblPrEx>
        <w:trPr>
          <w:trHeight w:val="1033" w:hRule="exact"/>
          <w:jc w:val="center"/>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下一步改进措施及</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管理建议</w:t>
            </w:r>
          </w:p>
        </w:tc>
        <w:tc>
          <w:tcPr>
            <w:tcW w:w="640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加强管理，提高协调合作。</w:t>
            </w:r>
          </w:p>
        </w:tc>
      </w:tr>
    </w:tbl>
    <w:p>
      <w:pPr>
        <w:spacing w:line="580" w:lineRule="exact"/>
        <w:ind w:firstLine="640" w:firstLineChars="200"/>
        <w:rPr>
          <w:rFonts w:hint="eastAsia" w:ascii="仿宋_GB2312" w:hAnsi="仿宋_GB2312" w:eastAsia="仿宋_GB2312" w:cs="仿宋_GB2312"/>
          <w:bCs/>
          <w:kern w:val="2"/>
          <w:sz w:val="32"/>
          <w:szCs w:val="32"/>
          <w:lang w:val="en-US" w:eastAsia="zh-CN" w:bidi="ar-SA"/>
        </w:rPr>
      </w:pPr>
    </w:p>
    <w:p>
      <w:pPr>
        <w:spacing w:line="580" w:lineRule="exact"/>
        <w:ind w:firstLine="640" w:firstLineChars="200"/>
        <w:rPr>
          <w:rFonts w:hint="default" w:ascii="宋体" w:hAnsi="宋体" w:eastAsia="宋体" w:cs="宋体"/>
          <w:bCs/>
          <w:sz w:val="32"/>
          <w:szCs w:val="32"/>
          <w:lang w:val="en-US" w:eastAsia="zh-CN"/>
        </w:rPr>
      </w:pPr>
      <w:r>
        <w:rPr>
          <w:rFonts w:hint="eastAsia" w:ascii="仿宋_GB2312" w:hAnsi="仿宋_GB2312" w:eastAsia="仿宋_GB2312" w:cs="仿宋_GB2312"/>
          <w:bCs/>
          <w:kern w:val="2"/>
          <w:sz w:val="32"/>
          <w:szCs w:val="32"/>
          <w:lang w:val="en-US" w:eastAsia="zh-CN" w:bidi="ar-SA"/>
        </w:rPr>
        <w:t>2、专项业务费自评综述：根据年初设定的绩效目标，项目自评得分为95分。全年预算数为5.5万元，执行数为5.5万元，完成预算的100%.项目绩效目标完成情况：保障拘押场所正常运转。</w:t>
      </w:r>
    </w:p>
    <w:tbl>
      <w:tblPr>
        <w:tblStyle w:val="7"/>
        <w:tblpPr w:leftFromText="180" w:rightFromText="180" w:vertAnchor="text" w:horzAnchor="page" w:tblpX="1464" w:tblpY="850"/>
        <w:tblOverlap w:val="never"/>
        <w:tblW w:w="9080" w:type="dxa"/>
        <w:tblInd w:w="0" w:type="dxa"/>
        <w:tblLayout w:type="fixed"/>
        <w:tblCellMar>
          <w:top w:w="0" w:type="dxa"/>
          <w:left w:w="108" w:type="dxa"/>
          <w:bottom w:w="0" w:type="dxa"/>
          <w:right w:w="108" w:type="dxa"/>
        </w:tblCellMar>
      </w:tblPr>
      <w:tblGrid>
        <w:gridCol w:w="588"/>
        <w:gridCol w:w="650"/>
        <w:gridCol w:w="567"/>
        <w:gridCol w:w="65"/>
        <w:gridCol w:w="1540"/>
        <w:gridCol w:w="1134"/>
        <w:gridCol w:w="521"/>
        <w:gridCol w:w="851"/>
        <w:gridCol w:w="850"/>
        <w:gridCol w:w="46"/>
        <w:gridCol w:w="521"/>
        <w:gridCol w:w="188"/>
        <w:gridCol w:w="237"/>
        <w:gridCol w:w="614"/>
        <w:gridCol w:w="708"/>
      </w:tblGrid>
      <w:tr>
        <w:tblPrEx>
          <w:tblCellMar>
            <w:top w:w="0" w:type="dxa"/>
            <w:left w:w="108" w:type="dxa"/>
            <w:bottom w:w="0" w:type="dxa"/>
            <w:right w:w="108" w:type="dxa"/>
          </w:tblCellMar>
        </w:tblPrEx>
        <w:trPr>
          <w:trHeight w:val="529" w:hRule="exact"/>
        </w:trPr>
        <w:tc>
          <w:tcPr>
            <w:tcW w:w="9080" w:type="dxa"/>
            <w:gridSpan w:val="15"/>
            <w:tcBorders>
              <w:top w:val="nil"/>
              <w:left w:val="nil"/>
              <w:bottom w:val="nil"/>
              <w:right w:val="nil"/>
            </w:tcBorders>
            <w:vAlign w:val="center"/>
          </w:tcPr>
          <w:p>
            <w:pPr>
              <w:widowControl/>
              <w:spacing w:line="320" w:lineRule="exact"/>
              <w:jc w:val="center"/>
              <w:rPr>
                <w:rFonts w:ascii="宋体" w:hAnsi="宋体" w:cs="宋体"/>
                <w:b/>
                <w:bCs/>
                <w:kern w:val="0"/>
                <w:sz w:val="32"/>
                <w:szCs w:val="32"/>
              </w:rPr>
            </w:pPr>
            <w:r>
              <w:rPr>
                <w:rFonts w:hint="eastAsia" w:ascii="华文中宋" w:hAnsi="华文中宋" w:eastAsia="华文中宋" w:cs="华文中宋"/>
                <w:b/>
                <w:bCs/>
                <w:kern w:val="0"/>
                <w:sz w:val="28"/>
                <w:szCs w:val="28"/>
              </w:rPr>
              <w:t>项目支出绩效自评</w:t>
            </w:r>
            <w:r>
              <w:rPr>
                <w:rFonts w:hint="eastAsia" w:ascii="华文中宋" w:hAnsi="华文中宋" w:eastAsia="华文中宋" w:cs="华文中宋"/>
                <w:b/>
                <w:bCs/>
                <w:kern w:val="0"/>
                <w:sz w:val="36"/>
                <w:szCs w:val="36"/>
              </w:rPr>
              <w:t>表</w:t>
            </w:r>
          </w:p>
        </w:tc>
      </w:tr>
      <w:tr>
        <w:tblPrEx>
          <w:tblCellMar>
            <w:top w:w="0" w:type="dxa"/>
            <w:left w:w="108" w:type="dxa"/>
            <w:bottom w:w="0" w:type="dxa"/>
            <w:right w:w="108" w:type="dxa"/>
          </w:tblCellMar>
        </w:tblPrEx>
        <w:trPr>
          <w:trHeight w:val="201" w:hRule="atLeast"/>
        </w:trPr>
        <w:tc>
          <w:tcPr>
            <w:tcW w:w="9080" w:type="dxa"/>
            <w:gridSpan w:val="15"/>
            <w:tcBorders>
              <w:top w:val="nil"/>
              <w:left w:val="nil"/>
              <w:bottom w:val="nil"/>
              <w:right w:val="nil"/>
            </w:tcBorders>
          </w:tcPr>
          <w:p>
            <w:pPr>
              <w:widowControl/>
              <w:rPr>
                <w:rFonts w:ascii="宋体" w:hAnsi="宋体" w:cs="宋体"/>
                <w:kern w:val="0"/>
                <w:sz w:val="22"/>
                <w:szCs w:val="22"/>
              </w:rPr>
            </w:pPr>
            <w:r>
              <w:rPr>
                <w:rFonts w:hint="eastAsia" w:ascii="宋体" w:hAnsi="宋体" w:cs="宋体"/>
                <w:kern w:val="0"/>
                <w:sz w:val="22"/>
                <w:szCs w:val="22"/>
              </w:rPr>
              <w:t>填列单位（公章）：                （   2021 年度）</w:t>
            </w:r>
          </w:p>
        </w:tc>
      </w:tr>
      <w:tr>
        <w:tblPrEx>
          <w:tblCellMar>
            <w:top w:w="0" w:type="dxa"/>
            <w:left w:w="108" w:type="dxa"/>
            <w:bottom w:w="0" w:type="dxa"/>
            <w:right w:w="108" w:type="dxa"/>
          </w:tblCellMar>
        </w:tblPrEx>
        <w:trPr>
          <w:trHeight w:val="320" w:hRule="exact"/>
        </w:trPr>
        <w:tc>
          <w:tcPr>
            <w:tcW w:w="123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项目名称</w:t>
            </w:r>
          </w:p>
        </w:tc>
        <w:tc>
          <w:tcPr>
            <w:tcW w:w="7842" w:type="dxa"/>
            <w:gridSpan w:val="13"/>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专项业务费</w:t>
            </w:r>
          </w:p>
        </w:tc>
      </w:tr>
      <w:tr>
        <w:tblPrEx>
          <w:tblCellMar>
            <w:top w:w="0" w:type="dxa"/>
            <w:left w:w="108" w:type="dxa"/>
            <w:bottom w:w="0" w:type="dxa"/>
            <w:right w:w="108" w:type="dxa"/>
          </w:tblCellMar>
        </w:tblPrEx>
        <w:trPr>
          <w:trHeight w:val="380" w:hRule="exact"/>
        </w:trPr>
        <w:tc>
          <w:tcPr>
            <w:tcW w:w="1238"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主管部门</w:t>
            </w:r>
          </w:p>
        </w:tc>
        <w:tc>
          <w:tcPr>
            <w:tcW w:w="4678" w:type="dxa"/>
            <w:gridSpan w:val="6"/>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大同市公安局</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大同市第二看守所</w:t>
            </w:r>
          </w:p>
        </w:tc>
      </w:tr>
      <w:tr>
        <w:tblPrEx>
          <w:tblCellMar>
            <w:top w:w="0" w:type="dxa"/>
            <w:left w:w="108" w:type="dxa"/>
            <w:bottom w:w="0" w:type="dxa"/>
            <w:right w:w="108" w:type="dxa"/>
          </w:tblCellMar>
        </w:tblPrEx>
        <w:trPr>
          <w:trHeight w:val="300" w:hRule="exact"/>
        </w:trPr>
        <w:tc>
          <w:tcPr>
            <w:tcW w:w="1238" w:type="dxa"/>
            <w:gridSpan w:val="2"/>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项目资金</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（万元）</w:t>
            </w: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年初预算数</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全年预算数</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全年执行数</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执行率</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r>
      <w:tr>
        <w:tblPrEx>
          <w:tblCellMar>
            <w:top w:w="0" w:type="dxa"/>
            <w:left w:w="108" w:type="dxa"/>
            <w:bottom w:w="0" w:type="dxa"/>
            <w:right w:w="108" w:type="dxa"/>
          </w:tblCellMar>
        </w:tblPrEx>
        <w:trPr>
          <w:trHeight w:val="300" w:hRule="exact"/>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cs="宋体"/>
                <w:kern w:val="0"/>
                <w:sz w:val="18"/>
                <w:szCs w:val="18"/>
              </w:rPr>
            </w:pPr>
            <w:r>
              <w:rPr>
                <w:rFonts w:hint="eastAsia" w:ascii="宋体" w:hAnsi="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5.5</w:t>
            </w: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5.5</w:t>
            </w: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5.5</w:t>
            </w: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ind w:firstLine="180" w:firstLineChars="100"/>
              <w:jc w:val="both"/>
              <w:rPr>
                <w:rFonts w:ascii="宋体" w:hAnsi="宋体" w:cs="宋体"/>
                <w:kern w:val="0"/>
                <w:sz w:val="18"/>
                <w:szCs w:val="18"/>
              </w:rPr>
            </w:pPr>
            <w:r>
              <w:rPr>
                <w:rFonts w:hint="eastAsia" w:ascii="宋体" w:hAnsi="宋体" w:cs="宋体"/>
                <w:kern w:val="0"/>
                <w:sz w:val="18"/>
                <w:szCs w:val="18"/>
                <w:lang w:val="en-US" w:eastAsia="zh-CN"/>
              </w:rPr>
              <w:t>100</w:t>
            </w:r>
            <w:r>
              <w:rPr>
                <w:rFonts w:hint="eastAsia" w:ascii="宋体" w:hAnsi="宋体" w:cs="宋体"/>
                <w:kern w:val="0"/>
                <w:sz w:val="18"/>
                <w:szCs w:val="18"/>
              </w:rPr>
              <w:t>%</w:t>
            </w: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r>
      <w:tr>
        <w:tblPrEx>
          <w:tblCellMar>
            <w:top w:w="0" w:type="dxa"/>
            <w:left w:w="108" w:type="dxa"/>
            <w:bottom w:w="0" w:type="dxa"/>
            <w:right w:w="108" w:type="dxa"/>
          </w:tblCellMar>
        </w:tblPrEx>
        <w:trPr>
          <w:trHeight w:val="300" w:hRule="exact"/>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trPr>
        <w:tc>
          <w:tcPr>
            <w:tcW w:w="123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2172"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72"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96"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9"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708"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w:t>
            </w:r>
          </w:p>
        </w:tc>
      </w:tr>
      <w:tr>
        <w:tblPrEx>
          <w:tblCellMar>
            <w:top w:w="0" w:type="dxa"/>
            <w:left w:w="108" w:type="dxa"/>
            <w:bottom w:w="0" w:type="dxa"/>
            <w:right w:w="108" w:type="dxa"/>
          </w:tblCellMar>
        </w:tblPrEx>
        <w:trPr>
          <w:trHeight w:val="300" w:hRule="exact"/>
        </w:trPr>
        <w:tc>
          <w:tcPr>
            <w:tcW w:w="588"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年度总体目标</w:t>
            </w: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预期目标</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实际完成情况</w:t>
            </w:r>
          </w:p>
        </w:tc>
      </w:tr>
      <w:tr>
        <w:tblPrEx>
          <w:tblCellMar>
            <w:top w:w="0" w:type="dxa"/>
            <w:left w:w="108" w:type="dxa"/>
            <w:bottom w:w="0" w:type="dxa"/>
            <w:right w:w="108" w:type="dxa"/>
          </w:tblCellMar>
        </w:tblPrEx>
        <w:trPr>
          <w:trHeight w:val="597" w:hRule="exact"/>
        </w:trPr>
        <w:tc>
          <w:tcPr>
            <w:tcW w:w="58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328" w:type="dxa"/>
            <w:gridSpan w:val="7"/>
            <w:tcBorders>
              <w:top w:val="single" w:color="auto" w:sz="4" w:space="0"/>
              <w:left w:val="nil"/>
              <w:bottom w:val="single" w:color="auto" w:sz="4" w:space="0"/>
              <w:right w:val="single" w:color="auto" w:sz="4" w:space="0"/>
            </w:tcBorders>
            <w:vAlign w:val="center"/>
          </w:tcPr>
          <w:p>
            <w:pPr>
              <w:widowControl/>
              <w:spacing w:line="240" w:lineRule="exact"/>
              <w:ind w:firstLine="720" w:firstLineChars="400"/>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保障拘押场所正常运行</w:t>
            </w:r>
          </w:p>
        </w:tc>
        <w:tc>
          <w:tcPr>
            <w:tcW w:w="316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保障了拘押场所正常运行</w:t>
            </w:r>
          </w:p>
        </w:tc>
      </w:tr>
      <w:tr>
        <w:tblPrEx>
          <w:tblCellMar>
            <w:top w:w="0" w:type="dxa"/>
            <w:left w:w="108" w:type="dxa"/>
            <w:bottom w:w="0" w:type="dxa"/>
            <w:right w:w="108" w:type="dxa"/>
          </w:tblCellMar>
        </w:tblPrEx>
        <w:trPr>
          <w:trHeight w:val="533" w:hRule="exact"/>
        </w:trPr>
        <w:tc>
          <w:tcPr>
            <w:tcW w:w="588" w:type="dxa"/>
            <w:vMerge w:val="restart"/>
            <w:tcBorders>
              <w:top w:val="nil"/>
              <w:left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绩</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效</w:t>
            </w:r>
          </w:p>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rPr>
              <w:t>指</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标</w:t>
            </w:r>
          </w:p>
        </w:tc>
        <w:tc>
          <w:tcPr>
            <w:tcW w:w="6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一级指标</w:t>
            </w:r>
          </w:p>
        </w:tc>
        <w:tc>
          <w:tcPr>
            <w:tcW w:w="567"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二级指标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年度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实际</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完成值</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分值</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得分</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偏差原因分析及改进措施</w:t>
            </w: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产出指标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数量指标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拘押场所数量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1</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1</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质量指标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保障</w:t>
            </w:r>
            <w:r>
              <w:rPr>
                <w:rFonts w:hint="eastAsia" w:ascii="宋体" w:hAnsi="宋体" w:cs="宋体"/>
                <w:color w:val="000000"/>
                <w:kern w:val="0"/>
                <w:sz w:val="18"/>
                <w:szCs w:val="18"/>
                <w:lang w:val="en-US" w:eastAsia="zh-CN"/>
              </w:rPr>
              <w:t>拘押场所的</w:t>
            </w:r>
            <w:r>
              <w:rPr>
                <w:rFonts w:hint="eastAsia" w:ascii="宋体" w:hAnsi="宋体" w:cs="宋体"/>
                <w:color w:val="000000"/>
                <w:kern w:val="0"/>
                <w:sz w:val="18"/>
                <w:szCs w:val="18"/>
              </w:rPr>
              <w:t>正常运行</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保障</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462"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时效指标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按实际支出支付</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2021年1-12月</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成本指标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专项业务费</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5.5</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5.5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效益指标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经济效益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社会效益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rPr>
              <w:t>维护</w:t>
            </w:r>
            <w:r>
              <w:rPr>
                <w:rFonts w:hint="eastAsia" w:ascii="宋体" w:hAnsi="宋体" w:cs="宋体"/>
                <w:color w:val="000000"/>
                <w:kern w:val="0"/>
                <w:sz w:val="18"/>
                <w:szCs w:val="18"/>
                <w:lang w:val="en-US" w:eastAsia="zh-CN"/>
              </w:rPr>
              <w:t>拘押场所</w:t>
            </w:r>
            <w:r>
              <w:rPr>
                <w:rFonts w:hint="eastAsia" w:ascii="宋体" w:hAnsi="宋体" w:cs="宋体"/>
                <w:color w:val="000000"/>
                <w:kern w:val="0"/>
                <w:sz w:val="18"/>
                <w:szCs w:val="18"/>
              </w:rPr>
              <w:t>秩序</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维护</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30</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生态效益</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可持续影响指标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满意度</w:t>
            </w:r>
          </w:p>
          <w:p>
            <w:pPr>
              <w:widowControl/>
              <w:spacing w:line="240" w:lineRule="exact"/>
              <w:jc w:val="center"/>
              <w:rPr>
                <w:rFonts w:ascii="宋体" w:hAnsi="宋体" w:cs="宋体"/>
                <w:kern w:val="0"/>
                <w:sz w:val="18"/>
                <w:szCs w:val="18"/>
              </w:rPr>
            </w:pPr>
            <w:r>
              <w:rPr>
                <w:rFonts w:hint="eastAsia" w:ascii="宋体" w:hAnsi="宋体" w:cs="宋体"/>
                <w:kern w:val="0"/>
                <w:sz w:val="18"/>
                <w:szCs w:val="18"/>
              </w:rPr>
              <w:t>指标</w:t>
            </w:r>
          </w:p>
        </w:tc>
        <w:tc>
          <w:tcPr>
            <w:tcW w:w="56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服务对象满意度指标</w:t>
            </w: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r>
              <w:rPr>
                <w:rFonts w:hint="eastAsia" w:ascii="宋体" w:hAnsi="宋体" w:cs="宋体"/>
                <w:color w:val="000000"/>
                <w:kern w:val="0"/>
                <w:sz w:val="18"/>
                <w:szCs w:val="18"/>
                <w:lang w:val="en-US" w:eastAsia="zh-CN"/>
              </w:rPr>
              <w:t>全体人员</w:t>
            </w:r>
            <w:r>
              <w:rPr>
                <w:rFonts w:hint="eastAsia" w:ascii="宋体" w:hAnsi="宋体" w:cs="宋体"/>
                <w:color w:val="000000"/>
                <w:kern w:val="0"/>
                <w:sz w:val="18"/>
                <w:szCs w:val="18"/>
              </w:rPr>
              <w:t>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100%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95%</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cs="宋体"/>
                <w:kern w:val="0"/>
                <w:sz w:val="18"/>
                <w:szCs w:val="18"/>
                <w:lang w:val="en-US" w:eastAsia="zh-CN"/>
              </w:rPr>
              <w:t>10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cs="宋体"/>
                <w:kern w:val="0"/>
                <w:sz w:val="18"/>
                <w:szCs w:val="18"/>
                <w:lang w:val="en-US" w:eastAsia="zh-CN"/>
              </w:rPr>
              <w:t>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left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588"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650" w:type="dxa"/>
            <w:vMerge w:val="continue"/>
            <w:tcBorders>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3260" w:type="dxa"/>
            <w:gridSpan w:val="4"/>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300" w:hRule="exact"/>
        </w:trPr>
        <w:tc>
          <w:tcPr>
            <w:tcW w:w="6766"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总分</w:t>
            </w:r>
          </w:p>
        </w:tc>
        <w:tc>
          <w:tcPr>
            <w:tcW w:w="5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1000</w:t>
            </w:r>
          </w:p>
        </w:tc>
        <w:tc>
          <w:tcPr>
            <w:tcW w:w="425"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95</w:t>
            </w:r>
          </w:p>
        </w:tc>
        <w:tc>
          <w:tcPr>
            <w:tcW w:w="1322"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p>
        </w:tc>
      </w:tr>
      <w:tr>
        <w:tblPrEx>
          <w:tblCellMar>
            <w:top w:w="0" w:type="dxa"/>
            <w:left w:w="108" w:type="dxa"/>
            <w:bottom w:w="0" w:type="dxa"/>
            <w:right w:w="108" w:type="dxa"/>
          </w:tblCellMar>
        </w:tblPrEx>
        <w:trPr>
          <w:trHeight w:val="1190" w:hRule="atLeast"/>
        </w:trPr>
        <w:tc>
          <w:tcPr>
            <w:tcW w:w="588"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项目绩效分析</w:t>
            </w:r>
          </w:p>
        </w:tc>
        <w:tc>
          <w:tcPr>
            <w:tcW w:w="650"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自评结果分析</w:t>
            </w: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项目实施和预算执行情况及分析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项目用于</w:t>
            </w:r>
            <w:r>
              <w:rPr>
                <w:rFonts w:hint="eastAsia" w:ascii="宋体" w:hAnsi="宋体" w:cs="宋体"/>
                <w:kern w:val="0"/>
                <w:sz w:val="18"/>
                <w:szCs w:val="18"/>
                <w:lang w:val="en-US" w:eastAsia="zh-CN"/>
              </w:rPr>
              <w:t>专项业务费</w:t>
            </w:r>
            <w:r>
              <w:rPr>
                <w:rFonts w:hint="eastAsia" w:ascii="宋体" w:hAnsi="宋体" w:cs="宋体"/>
                <w:kern w:val="0"/>
                <w:sz w:val="18"/>
                <w:szCs w:val="18"/>
              </w:rPr>
              <w:t>，全年预算</w:t>
            </w:r>
            <w:r>
              <w:rPr>
                <w:rFonts w:hint="eastAsia" w:ascii="宋体" w:hAnsi="宋体" w:cs="宋体"/>
                <w:kern w:val="0"/>
                <w:sz w:val="18"/>
                <w:szCs w:val="18"/>
                <w:lang w:val="en-US" w:eastAsia="zh-CN"/>
              </w:rPr>
              <w:t>5.5</w:t>
            </w:r>
            <w:r>
              <w:rPr>
                <w:rFonts w:hint="eastAsia" w:ascii="宋体" w:hAnsi="宋体" w:cs="宋体"/>
                <w:kern w:val="0"/>
                <w:sz w:val="18"/>
                <w:szCs w:val="18"/>
              </w:rPr>
              <w:t>万元，全年执行支出</w:t>
            </w:r>
            <w:r>
              <w:rPr>
                <w:rFonts w:hint="eastAsia" w:ascii="宋体" w:hAnsi="宋体" w:cs="宋体"/>
                <w:kern w:val="0"/>
                <w:sz w:val="18"/>
                <w:szCs w:val="18"/>
                <w:lang w:val="en-US" w:eastAsia="zh-CN"/>
              </w:rPr>
              <w:t>5.5</w:t>
            </w:r>
            <w:r>
              <w:rPr>
                <w:rFonts w:hint="eastAsia" w:ascii="宋体" w:hAnsi="宋体" w:cs="宋体"/>
                <w:kern w:val="0"/>
                <w:sz w:val="18"/>
                <w:szCs w:val="18"/>
              </w:rPr>
              <w:t>万元，执行率</w:t>
            </w:r>
            <w:r>
              <w:rPr>
                <w:rFonts w:hint="eastAsia" w:ascii="宋体" w:hAnsi="宋体" w:cs="宋体"/>
                <w:kern w:val="0"/>
                <w:sz w:val="18"/>
                <w:szCs w:val="18"/>
                <w:lang w:val="en-US" w:eastAsia="zh-CN"/>
              </w:rPr>
              <w:t>100</w:t>
            </w:r>
            <w:r>
              <w:rPr>
                <w:rFonts w:hint="eastAsia" w:ascii="宋体" w:hAnsi="宋体" w:cs="宋体"/>
                <w:kern w:val="0"/>
                <w:sz w:val="18"/>
                <w:szCs w:val="18"/>
              </w:rPr>
              <w:t>%</w:t>
            </w:r>
          </w:p>
        </w:tc>
      </w:tr>
      <w:tr>
        <w:tblPrEx>
          <w:tblCellMar>
            <w:top w:w="0" w:type="dxa"/>
            <w:left w:w="108" w:type="dxa"/>
            <w:bottom w:w="0" w:type="dxa"/>
            <w:right w:w="108" w:type="dxa"/>
          </w:tblCellMar>
        </w:tblPrEx>
        <w:trPr>
          <w:trHeight w:val="1045"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产出情况及分析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按实际支出执行</w:t>
            </w:r>
          </w:p>
        </w:tc>
      </w:tr>
      <w:tr>
        <w:tblPrEx>
          <w:tblCellMar>
            <w:top w:w="0" w:type="dxa"/>
            <w:left w:w="108" w:type="dxa"/>
            <w:bottom w:w="0" w:type="dxa"/>
            <w:right w:w="108" w:type="dxa"/>
          </w:tblCellMar>
        </w:tblPrEx>
        <w:trPr>
          <w:trHeight w:val="1100"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效益情况及分析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确保</w:t>
            </w:r>
            <w:r>
              <w:rPr>
                <w:rFonts w:hint="eastAsia" w:ascii="宋体" w:hAnsi="宋体" w:cs="宋体"/>
                <w:color w:val="000000"/>
                <w:kern w:val="0"/>
                <w:sz w:val="18"/>
                <w:szCs w:val="18"/>
                <w:lang w:val="en-US" w:eastAsia="zh-CN"/>
              </w:rPr>
              <w:t>了拘押场所</w:t>
            </w:r>
            <w:r>
              <w:rPr>
                <w:rFonts w:hint="eastAsia" w:ascii="宋体" w:hAnsi="宋体" w:cs="宋体"/>
                <w:color w:val="000000"/>
                <w:kern w:val="0"/>
                <w:sz w:val="18"/>
                <w:szCs w:val="18"/>
              </w:rPr>
              <w:t>的秩序。</w:t>
            </w:r>
          </w:p>
        </w:tc>
      </w:tr>
      <w:tr>
        <w:tblPrEx>
          <w:tblCellMar>
            <w:top w:w="0" w:type="dxa"/>
            <w:left w:w="108" w:type="dxa"/>
            <w:bottom w:w="0" w:type="dxa"/>
            <w:right w:w="108" w:type="dxa"/>
          </w:tblCellMar>
        </w:tblPrEx>
        <w:trPr>
          <w:trHeight w:val="1543" w:hRule="atLeas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632"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满意度情况及分析</w:t>
            </w:r>
          </w:p>
        </w:tc>
        <w:tc>
          <w:tcPr>
            <w:tcW w:w="7210"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lang w:val="en-US" w:eastAsia="zh-CN"/>
              </w:rPr>
              <w:t>全体人员</w:t>
            </w:r>
            <w:r>
              <w:rPr>
                <w:rFonts w:hint="eastAsia" w:ascii="宋体" w:hAnsi="宋体" w:cs="宋体"/>
                <w:color w:val="000000"/>
                <w:kern w:val="0"/>
                <w:sz w:val="18"/>
                <w:szCs w:val="18"/>
              </w:rPr>
              <w:t>满意度度为95%</w:t>
            </w:r>
          </w:p>
        </w:tc>
      </w:tr>
      <w:tr>
        <w:tblPrEx>
          <w:tblCellMar>
            <w:top w:w="0" w:type="dxa"/>
            <w:left w:w="108" w:type="dxa"/>
            <w:bottom w:w="0" w:type="dxa"/>
            <w:right w:w="108" w:type="dxa"/>
          </w:tblCellMar>
        </w:tblPrEx>
        <w:trPr>
          <w:trHeight w:val="1011" w:hRule="exac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主要经验做法</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专款专用，按</w:t>
            </w:r>
            <w:r>
              <w:rPr>
                <w:rFonts w:hint="eastAsia" w:ascii="宋体" w:hAnsi="宋体" w:cs="宋体"/>
                <w:kern w:val="0"/>
                <w:sz w:val="18"/>
                <w:szCs w:val="18"/>
                <w:lang w:val="en-US" w:eastAsia="zh-CN"/>
              </w:rPr>
              <w:t>实际支出</w:t>
            </w:r>
            <w:r>
              <w:rPr>
                <w:rFonts w:hint="eastAsia" w:ascii="宋体" w:hAnsi="宋体" w:cs="宋体"/>
                <w:kern w:val="0"/>
                <w:sz w:val="18"/>
                <w:szCs w:val="18"/>
              </w:rPr>
              <w:t>支付</w:t>
            </w:r>
          </w:p>
        </w:tc>
      </w:tr>
      <w:tr>
        <w:tblPrEx>
          <w:tblCellMar>
            <w:top w:w="0" w:type="dxa"/>
            <w:left w:w="108" w:type="dxa"/>
            <w:bottom w:w="0" w:type="dxa"/>
            <w:right w:w="108" w:type="dxa"/>
          </w:tblCellMar>
        </w:tblPrEx>
        <w:trPr>
          <w:trHeight w:val="988" w:hRule="exac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项目管理中存在的</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主要问题及原因分析</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kern w:val="0"/>
                <w:sz w:val="18"/>
                <w:szCs w:val="18"/>
              </w:rPr>
            </w:pPr>
            <w:r>
              <w:rPr>
                <w:rFonts w:hint="eastAsia" w:ascii="宋体" w:hAnsi="宋体" w:cs="宋体"/>
                <w:kern w:val="0"/>
                <w:sz w:val="18"/>
                <w:szCs w:val="18"/>
              </w:rPr>
              <w:t>无</w:t>
            </w:r>
          </w:p>
        </w:tc>
      </w:tr>
      <w:tr>
        <w:tblPrEx>
          <w:tblCellMar>
            <w:top w:w="0" w:type="dxa"/>
            <w:left w:w="108" w:type="dxa"/>
            <w:bottom w:w="0" w:type="dxa"/>
            <w:right w:w="108" w:type="dxa"/>
          </w:tblCellMar>
        </w:tblPrEx>
        <w:trPr>
          <w:trHeight w:val="1034" w:hRule="exact"/>
        </w:trPr>
        <w:tc>
          <w:tcPr>
            <w:tcW w:w="58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p>
        </w:tc>
        <w:tc>
          <w:tcPr>
            <w:tcW w:w="1217"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下一步改进措施及</w:t>
            </w:r>
          </w:p>
          <w:p>
            <w:pPr>
              <w:widowControl/>
              <w:spacing w:line="240" w:lineRule="exact"/>
              <w:jc w:val="center"/>
              <w:rPr>
                <w:rFonts w:ascii="宋体" w:hAnsi="宋体" w:cs="宋体"/>
                <w:color w:val="000000"/>
                <w:kern w:val="0"/>
                <w:sz w:val="18"/>
                <w:szCs w:val="18"/>
              </w:rPr>
            </w:pPr>
            <w:r>
              <w:rPr>
                <w:rFonts w:hint="eastAsia" w:ascii="宋体" w:hAnsi="宋体" w:cs="宋体"/>
                <w:color w:val="000000"/>
                <w:kern w:val="0"/>
                <w:sz w:val="18"/>
                <w:szCs w:val="18"/>
              </w:rPr>
              <w:t>管理建议</w:t>
            </w:r>
          </w:p>
        </w:tc>
        <w:tc>
          <w:tcPr>
            <w:tcW w:w="7275" w:type="dxa"/>
            <w:gridSpan w:val="1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cs="宋体"/>
                <w:kern w:val="0"/>
                <w:sz w:val="18"/>
                <w:szCs w:val="18"/>
                <w:lang w:val="en-US" w:eastAsia="zh-CN"/>
              </w:rPr>
              <w:t>无</w:t>
            </w:r>
          </w:p>
        </w:tc>
      </w:tr>
    </w:tbl>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spacing w:line="580" w:lineRule="exact"/>
        <w:rPr>
          <w:rFonts w:ascii="宋体" w:hAnsi="宋体" w:cs="宋体"/>
          <w:bCs/>
          <w:sz w:val="32"/>
          <w:szCs w:val="32"/>
        </w:rPr>
      </w:pPr>
    </w:p>
    <w:p>
      <w:pPr>
        <w:pStyle w:val="6"/>
        <w:shd w:val="clear" w:color="auto" w:fill="FFFFFF"/>
        <w:spacing w:before="0" w:beforeAutospacing="0" w:after="0" w:afterAutospacing="0" w:line="580" w:lineRule="exact"/>
        <w:jc w:val="both"/>
        <w:rPr>
          <w:rFonts w:hint="eastAsia" w:cs="Arial" w:asciiTheme="minorEastAsia" w:hAnsiTheme="minorEastAsia" w:eastAsiaTheme="minorEastAsia"/>
          <w:b/>
          <w:color w:val="000000"/>
          <w:sz w:val="36"/>
          <w:szCs w:val="36"/>
        </w:rPr>
      </w:pPr>
    </w:p>
    <w:p>
      <w:pPr>
        <w:pStyle w:val="2"/>
        <w:bidi w:val="0"/>
        <w:jc w:val="center"/>
        <w:rPr>
          <w:rFonts w:hint="eastAsia" w:ascii="宋体" w:hAnsi="宋体" w:eastAsia="宋体" w:cs="宋体"/>
          <w:b/>
          <w:bCs w:val="0"/>
          <w:sz w:val="36"/>
          <w:szCs w:val="36"/>
          <w:lang w:val="en-US" w:eastAsia="zh-CN"/>
        </w:rPr>
      </w:pPr>
      <w:bookmarkStart w:id="23" w:name="_Toc27312"/>
      <w:r>
        <w:rPr>
          <w:rFonts w:hint="eastAsia" w:ascii="宋体" w:hAnsi="宋体" w:eastAsia="宋体" w:cs="宋体"/>
          <w:b/>
          <w:bCs w:val="0"/>
          <w:sz w:val="36"/>
          <w:szCs w:val="36"/>
          <w:lang w:val="en-US" w:eastAsia="zh-CN"/>
        </w:rPr>
        <w:t>第四部分  名词解释</w:t>
      </w:r>
      <w:bookmarkEnd w:id="23"/>
      <w:r>
        <w:rPr>
          <w:rFonts w:hint="eastAsia" w:ascii="宋体" w:hAnsi="宋体" w:eastAsia="宋体" w:cs="宋体"/>
          <w:b/>
          <w:bCs w:val="0"/>
          <w:sz w:val="36"/>
          <w:szCs w:val="36"/>
          <w:lang w:val="en-US" w:eastAsia="zh-CN"/>
        </w:rPr>
        <w:t xml:space="preserve">  </w:t>
      </w:r>
    </w:p>
    <w:p>
      <w:pPr>
        <w:numPr>
          <w:ilvl w:val="0"/>
          <w:numId w:val="0"/>
        </w:numPr>
        <w:ind w:leftChars="0" w:firstLine="643" w:firstLineChars="200"/>
        <w:outlineLvl w:val="1"/>
        <w:rPr>
          <w:rFonts w:hint="eastAsia" w:ascii="宋体" w:hAnsi="宋体" w:eastAsia="宋体" w:cs="宋体"/>
          <w:sz w:val="32"/>
          <w:szCs w:val="32"/>
        </w:rPr>
      </w:pPr>
      <w:bookmarkStart w:id="24" w:name="_Toc19768"/>
      <w:r>
        <w:rPr>
          <w:rFonts w:hint="eastAsia" w:ascii="宋体" w:hAnsi="宋体" w:cs="宋体"/>
          <w:b/>
          <w:bCs/>
          <w:sz w:val="32"/>
          <w:szCs w:val="32"/>
          <w:lang w:val="en-US" w:eastAsia="zh-CN"/>
        </w:rPr>
        <w:t>一、</w:t>
      </w:r>
      <w:r>
        <w:rPr>
          <w:rFonts w:hint="eastAsia" w:ascii="宋体" w:hAnsi="宋体" w:eastAsia="宋体" w:cs="宋体"/>
          <w:b/>
          <w:bCs/>
          <w:sz w:val="32"/>
          <w:szCs w:val="32"/>
        </w:rPr>
        <w:t>财政拨款收入：</w:t>
      </w:r>
      <w:r>
        <w:rPr>
          <w:rFonts w:hint="eastAsia" w:ascii="仿宋_GB2312" w:hAnsi="仿宋_GB2312" w:eastAsia="仿宋_GB2312" w:cs="仿宋_GB2312"/>
          <w:bCs/>
          <w:kern w:val="2"/>
          <w:sz w:val="32"/>
          <w:szCs w:val="32"/>
          <w:lang w:val="en-US" w:eastAsia="zh-CN" w:bidi="ar-SA"/>
        </w:rPr>
        <w:t>指单位从同级财政部门取得的财政预算资金。</w:t>
      </w:r>
      <w:bookmarkEnd w:id="24"/>
    </w:p>
    <w:p>
      <w:pPr>
        <w:numPr>
          <w:ilvl w:val="0"/>
          <w:numId w:val="0"/>
        </w:numPr>
        <w:ind w:leftChars="0" w:firstLine="643" w:firstLineChars="200"/>
        <w:rPr>
          <w:rFonts w:hint="eastAsia" w:ascii="仿宋_GB2312" w:hAnsi="仿宋_GB2312" w:eastAsia="仿宋_GB2312" w:cs="仿宋_GB2312"/>
          <w:bCs/>
          <w:kern w:val="2"/>
          <w:sz w:val="32"/>
          <w:szCs w:val="32"/>
          <w:lang w:val="en-US" w:eastAsia="zh-CN" w:bidi="ar-SA"/>
        </w:rPr>
      </w:pPr>
      <w:r>
        <w:rPr>
          <w:rFonts w:hint="eastAsia" w:ascii="宋体" w:hAnsi="宋体" w:eastAsia="宋体" w:cs="宋体"/>
          <w:b/>
          <w:bCs/>
          <w:sz w:val="32"/>
          <w:szCs w:val="32"/>
        </w:rPr>
        <w:t>二、事业收入：</w:t>
      </w:r>
      <w:r>
        <w:rPr>
          <w:rFonts w:hint="eastAsia" w:ascii="仿宋_GB2312" w:hAnsi="仿宋_GB2312" w:eastAsia="仿宋_GB2312" w:cs="仿宋_GB2312"/>
          <w:bCs/>
          <w:kern w:val="2"/>
          <w:sz w:val="32"/>
          <w:szCs w:val="32"/>
          <w:lang w:val="en-US" w:eastAsia="zh-CN" w:bidi="ar-SA"/>
        </w:rPr>
        <w:t>指事业单位开展专业业务活动及辅助活动取得的收入。</w:t>
      </w:r>
    </w:p>
    <w:p>
      <w:pPr>
        <w:ind w:firstLine="643" w:firstLineChars="200"/>
        <w:rPr>
          <w:rFonts w:hint="eastAsia" w:ascii="仿宋_GB2312" w:hAnsi="仿宋_GB2312" w:eastAsia="仿宋_GB2312" w:cs="仿宋_GB2312"/>
          <w:bCs/>
          <w:kern w:val="2"/>
          <w:sz w:val="32"/>
          <w:szCs w:val="32"/>
          <w:lang w:val="en-US" w:eastAsia="zh-CN" w:bidi="ar-SA"/>
        </w:rPr>
      </w:pPr>
      <w:r>
        <w:rPr>
          <w:rFonts w:hint="eastAsia" w:ascii="宋体" w:hAnsi="宋体" w:eastAsia="宋体" w:cs="宋体"/>
          <w:b/>
          <w:bCs/>
          <w:sz w:val="32"/>
          <w:szCs w:val="32"/>
        </w:rPr>
        <w:t>三、经营收入：</w:t>
      </w:r>
      <w:r>
        <w:rPr>
          <w:rFonts w:hint="eastAsia" w:ascii="仿宋_GB2312" w:hAnsi="仿宋_GB2312" w:eastAsia="仿宋_GB2312" w:cs="仿宋_GB2312"/>
          <w:bCs/>
          <w:kern w:val="2"/>
          <w:sz w:val="32"/>
          <w:szCs w:val="32"/>
          <w:lang w:val="en-US" w:eastAsia="zh-CN" w:bidi="ar-SA"/>
        </w:rPr>
        <w:t>指事业单位在专业业务活动及其辅助活动之外开展非独立核算经营活动取得的收入。</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四、其他收入：</w:t>
      </w:r>
      <w:r>
        <w:rPr>
          <w:rFonts w:hint="eastAsia" w:ascii="仿宋_GB2312" w:hAnsi="仿宋_GB2312" w:eastAsia="仿宋_GB2312" w:cs="仿宋_GB2312"/>
          <w:bCs/>
          <w:kern w:val="2"/>
          <w:sz w:val="32"/>
          <w:szCs w:val="32"/>
          <w:lang w:val="en-US" w:eastAsia="zh-CN" w:bidi="ar-SA"/>
        </w:rPr>
        <w:t>指单位取得的除上述收入以外的各项收入。主要是事业单位固定资产出租收入、存款利息收入等。</w:t>
      </w:r>
    </w:p>
    <w:p>
      <w:pPr>
        <w:ind w:firstLine="643" w:firstLineChars="200"/>
        <w:rPr>
          <w:rFonts w:hint="eastAsia" w:ascii="仿宋_GB2312" w:hAnsi="仿宋_GB2312" w:eastAsia="仿宋_GB2312" w:cs="仿宋_GB2312"/>
          <w:bCs/>
          <w:kern w:val="2"/>
          <w:sz w:val="32"/>
          <w:szCs w:val="32"/>
          <w:lang w:val="en-US" w:eastAsia="zh-CN" w:bidi="ar-SA"/>
        </w:rPr>
      </w:pPr>
      <w:r>
        <w:rPr>
          <w:rFonts w:hint="eastAsia" w:ascii="宋体" w:hAnsi="宋体" w:eastAsia="宋体" w:cs="宋体"/>
          <w:b/>
          <w:bCs/>
          <w:sz w:val="32"/>
          <w:szCs w:val="32"/>
        </w:rPr>
        <w:t>五、使用非财政拨款结余：</w:t>
      </w:r>
      <w:r>
        <w:rPr>
          <w:rFonts w:hint="eastAsia" w:ascii="仿宋_GB2312" w:hAnsi="仿宋_GB2312" w:eastAsia="仿宋_GB2312" w:cs="仿宋_GB2312"/>
          <w:bCs/>
          <w:kern w:val="2"/>
          <w:sz w:val="32"/>
          <w:szCs w:val="32"/>
          <w:lang w:val="en-US" w:eastAsia="zh-CN" w:bidi="ar-SA"/>
        </w:rPr>
        <w:t>指事业单位使用以前年度积累的非财政拨款结余弥补当年收支差额的金额。</w:t>
      </w:r>
    </w:p>
    <w:p>
      <w:pPr>
        <w:ind w:firstLine="643" w:firstLineChars="200"/>
        <w:rPr>
          <w:rFonts w:hint="eastAsia" w:ascii="宋体" w:hAnsi="宋体" w:eastAsia="宋体" w:cs="宋体"/>
          <w:sz w:val="32"/>
          <w:szCs w:val="32"/>
        </w:rPr>
      </w:pPr>
      <w:r>
        <w:rPr>
          <w:rFonts w:hint="eastAsia" w:ascii="宋体" w:hAnsi="宋体" w:eastAsia="宋体" w:cs="宋体"/>
          <w:b/>
          <w:bCs/>
          <w:sz w:val="32"/>
          <w:szCs w:val="32"/>
        </w:rPr>
        <w:t>六、年初结转和结余：</w:t>
      </w:r>
      <w:r>
        <w:rPr>
          <w:rFonts w:hint="eastAsia" w:ascii="仿宋_GB2312" w:hAnsi="仿宋_GB2312" w:eastAsia="仿宋_GB2312" w:cs="仿宋_GB2312"/>
          <w:bCs/>
          <w:kern w:val="2"/>
          <w:sz w:val="32"/>
          <w:szCs w:val="32"/>
          <w:lang w:val="en-US" w:eastAsia="zh-CN" w:bidi="ar-SA"/>
        </w:rPr>
        <w:t>指单位以前年度尚未完成、结转到本年仍按原规定用途继续使用的资金，或项目已完成等产生的结余资金。</w:t>
      </w:r>
    </w:p>
    <w:p>
      <w:pPr>
        <w:ind w:firstLine="643" w:firstLineChars="200"/>
        <w:rPr>
          <w:rFonts w:hint="eastAsia" w:ascii="仿宋_GB2312" w:hAnsi="仿宋_GB2312" w:eastAsia="仿宋_GB2312" w:cs="仿宋_GB2312"/>
          <w:bCs/>
          <w:kern w:val="2"/>
          <w:sz w:val="32"/>
          <w:szCs w:val="32"/>
          <w:lang w:val="en-US" w:eastAsia="zh-CN" w:bidi="ar-SA"/>
        </w:rPr>
      </w:pPr>
      <w:r>
        <w:rPr>
          <w:rFonts w:hint="eastAsia" w:ascii="宋体" w:hAnsi="宋体" w:eastAsia="宋体" w:cs="宋体"/>
          <w:b/>
          <w:bCs/>
          <w:sz w:val="32"/>
          <w:szCs w:val="32"/>
        </w:rPr>
        <w:t>七、结余分配：</w:t>
      </w:r>
      <w:r>
        <w:rPr>
          <w:rFonts w:hint="eastAsia" w:ascii="仿宋_GB2312" w:hAnsi="仿宋_GB2312" w:eastAsia="仿宋_GB2312" w:cs="仿宋_GB2312"/>
          <w:bCs/>
          <w:kern w:val="2"/>
          <w:sz w:val="32"/>
          <w:szCs w:val="32"/>
          <w:lang w:val="en-US" w:eastAsia="zh-CN" w:bidi="ar-SA"/>
        </w:rPr>
        <w:t>指事业单位按照会计制度规定缴纳的所得税、提取的专用结余以及转入非财政拨款结余的金额等。</w:t>
      </w:r>
    </w:p>
    <w:p>
      <w:pPr>
        <w:ind w:firstLine="643" w:firstLineChars="200"/>
        <w:rPr>
          <w:rFonts w:hint="eastAsia" w:ascii="仿宋_GB2312" w:hAnsi="仿宋_GB2312" w:eastAsia="仿宋_GB2312" w:cs="仿宋_GB2312"/>
          <w:bCs/>
          <w:kern w:val="2"/>
          <w:sz w:val="32"/>
          <w:szCs w:val="32"/>
          <w:lang w:val="en-US" w:eastAsia="zh-CN" w:bidi="ar-SA"/>
        </w:rPr>
      </w:pPr>
      <w:r>
        <w:rPr>
          <w:rFonts w:hint="eastAsia" w:ascii="宋体" w:hAnsi="宋体" w:eastAsia="宋体" w:cs="宋体"/>
          <w:b/>
          <w:bCs/>
          <w:sz w:val="32"/>
          <w:szCs w:val="32"/>
        </w:rPr>
        <w:t>八、年末结转和结余：</w:t>
      </w:r>
      <w:r>
        <w:rPr>
          <w:rFonts w:hint="eastAsia" w:ascii="仿宋_GB2312" w:hAnsi="仿宋_GB2312" w:eastAsia="仿宋_GB2312" w:cs="仿宋_GB2312"/>
          <w:bCs/>
          <w:kern w:val="2"/>
          <w:sz w:val="32"/>
          <w:szCs w:val="32"/>
          <w:lang w:val="en-US" w:eastAsia="zh-CN" w:bidi="ar-SA"/>
        </w:rPr>
        <w:t>指单位按有关规定结转到下年或以后年度继续使用的资金，或项目已完成等产生的结余资金。</w:t>
      </w:r>
    </w:p>
    <w:p>
      <w:pPr>
        <w:ind w:firstLine="643" w:firstLineChars="200"/>
        <w:rPr>
          <w:rFonts w:hint="eastAsia" w:ascii="仿宋_GB2312" w:hAnsi="仿宋_GB2312" w:eastAsia="仿宋_GB2312" w:cs="仿宋_GB2312"/>
          <w:bCs/>
          <w:kern w:val="2"/>
          <w:sz w:val="32"/>
          <w:szCs w:val="32"/>
          <w:lang w:val="en-US" w:eastAsia="zh-CN" w:bidi="ar-SA"/>
        </w:rPr>
      </w:pPr>
      <w:r>
        <w:rPr>
          <w:rFonts w:hint="eastAsia" w:ascii="宋体" w:hAnsi="宋体" w:eastAsia="宋体" w:cs="宋体"/>
          <w:b/>
          <w:bCs/>
          <w:sz w:val="32"/>
          <w:szCs w:val="32"/>
        </w:rPr>
        <w:t>九、基本支出：</w:t>
      </w:r>
      <w:r>
        <w:rPr>
          <w:rFonts w:hint="eastAsia" w:ascii="仿宋_GB2312" w:hAnsi="仿宋_GB2312" w:eastAsia="仿宋_GB2312" w:cs="仿宋_GB2312"/>
          <w:bCs/>
          <w:kern w:val="2"/>
          <w:sz w:val="32"/>
          <w:szCs w:val="32"/>
          <w:lang w:val="en-US" w:eastAsia="zh-CN" w:bidi="ar-SA"/>
        </w:rPr>
        <w:t>指为保障机构正常运转、完成日常工作任务而发生的人员支出和公用支出。</w:t>
      </w:r>
    </w:p>
    <w:p>
      <w:pPr>
        <w:ind w:firstLine="643" w:firstLineChars="200"/>
        <w:rPr>
          <w:rFonts w:hint="eastAsia" w:ascii="仿宋_GB2312" w:hAnsi="仿宋_GB2312" w:eastAsia="仿宋_GB2312" w:cs="仿宋_GB2312"/>
          <w:bCs/>
          <w:kern w:val="2"/>
          <w:sz w:val="32"/>
          <w:szCs w:val="32"/>
          <w:lang w:val="en-US" w:eastAsia="zh-CN" w:bidi="ar-SA"/>
        </w:rPr>
      </w:pPr>
      <w:r>
        <w:rPr>
          <w:rFonts w:hint="eastAsia" w:ascii="宋体" w:hAnsi="宋体" w:eastAsia="宋体" w:cs="宋体"/>
          <w:b/>
          <w:bCs/>
          <w:sz w:val="32"/>
          <w:szCs w:val="32"/>
        </w:rPr>
        <w:t>十、项目支出：</w:t>
      </w:r>
      <w:r>
        <w:rPr>
          <w:rFonts w:hint="eastAsia" w:ascii="仿宋_GB2312" w:hAnsi="仿宋_GB2312" w:eastAsia="仿宋_GB2312" w:cs="仿宋_GB2312"/>
          <w:bCs/>
          <w:kern w:val="2"/>
          <w:sz w:val="32"/>
          <w:szCs w:val="32"/>
          <w:lang w:val="en-US" w:eastAsia="zh-CN" w:bidi="ar-SA"/>
        </w:rPr>
        <w:t>指在基本支出之外为完成特定行政任务和事业发展目标所发生的支出。</w:t>
      </w:r>
    </w:p>
    <w:p>
      <w:pPr>
        <w:ind w:firstLine="643" w:firstLineChars="200"/>
        <w:rPr>
          <w:rFonts w:hint="eastAsia" w:ascii="仿宋_GB2312" w:hAnsi="仿宋_GB2312" w:eastAsia="仿宋_GB2312" w:cs="仿宋_GB2312"/>
          <w:bCs/>
          <w:kern w:val="2"/>
          <w:sz w:val="32"/>
          <w:szCs w:val="32"/>
          <w:lang w:val="en-US" w:eastAsia="zh-CN" w:bidi="ar-SA"/>
        </w:rPr>
      </w:pPr>
      <w:r>
        <w:rPr>
          <w:rFonts w:hint="eastAsia" w:ascii="宋体" w:hAnsi="宋体" w:eastAsia="宋体" w:cs="宋体"/>
          <w:b/>
          <w:bCs/>
          <w:sz w:val="32"/>
          <w:szCs w:val="32"/>
        </w:rPr>
        <w:t>十一、“三公”经费：</w:t>
      </w:r>
      <w:r>
        <w:rPr>
          <w:rFonts w:hint="eastAsia" w:ascii="仿宋_GB2312" w:hAnsi="仿宋_GB2312" w:eastAsia="仿宋_GB2312" w:cs="仿宋_GB2312"/>
          <w:bCs/>
          <w:kern w:val="2"/>
          <w:sz w:val="32"/>
          <w:szCs w:val="32"/>
          <w:lang w:val="en-US" w:eastAsia="zh-CN" w:bidi="ar-SA"/>
        </w:rPr>
        <w:t>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6"/>
        <w:shd w:val="clear" w:color="auto" w:fill="FFFFFF"/>
        <w:spacing w:line="580" w:lineRule="exact"/>
        <w:ind w:firstLine="800"/>
        <w:rPr>
          <w:rFonts w:hint="eastAsia" w:ascii="仿宋_GB2312" w:hAnsi="仿宋_GB2312" w:eastAsia="仿宋_GB2312" w:cs="仿宋_GB2312"/>
          <w:bCs/>
          <w:kern w:val="2"/>
          <w:sz w:val="32"/>
          <w:szCs w:val="32"/>
          <w:lang w:val="en-US" w:eastAsia="zh-CN" w:bidi="ar-SA"/>
        </w:rPr>
      </w:pPr>
      <w:r>
        <w:rPr>
          <w:rFonts w:hint="eastAsia" w:ascii="宋体" w:hAnsi="宋体" w:eastAsia="宋体" w:cs="宋体"/>
          <w:b/>
          <w:bCs/>
          <w:sz w:val="32"/>
          <w:szCs w:val="32"/>
        </w:rPr>
        <w:t>十二、机关运行经费：</w:t>
      </w:r>
      <w:r>
        <w:rPr>
          <w:rFonts w:hint="eastAsia" w:ascii="仿宋_GB2312" w:hAnsi="仿宋_GB2312" w:eastAsia="仿宋_GB2312" w:cs="仿宋_GB2312"/>
          <w:bCs/>
          <w:kern w:val="2"/>
          <w:sz w:val="32"/>
          <w:szCs w:val="32"/>
          <w:lang w:val="en-US" w:eastAsia="zh-CN" w:bidi="ar-SA"/>
        </w:rPr>
        <w:t>指行政单位和参照公务员法管理的事业单位使用一般公共预算安排的基本支出中的日常公用经费支出。</w:t>
      </w:r>
    </w:p>
    <w:p>
      <w:pPr>
        <w:pStyle w:val="2"/>
        <w:bidi w:val="0"/>
        <w:jc w:val="center"/>
        <w:outlineLvl w:val="9"/>
        <w:rPr>
          <w:rFonts w:hint="eastAsia" w:ascii="宋体" w:hAnsi="宋体" w:eastAsia="宋体" w:cs="宋体"/>
          <w:b/>
          <w:bCs w:val="0"/>
          <w:sz w:val="36"/>
          <w:szCs w:val="36"/>
          <w:lang w:val="en-US" w:eastAsia="zh-CN"/>
        </w:rPr>
      </w:pPr>
      <w:r>
        <w:rPr>
          <w:rFonts w:hint="eastAsia" w:ascii="黑体" w:eastAsia="黑体" w:cs="Arial"/>
          <w:b/>
          <w:color w:val="000000"/>
          <w:sz w:val="32"/>
          <w:szCs w:val="20"/>
        </w:rPr>
        <w:t xml:space="preserve">  </w:t>
      </w:r>
      <w:r>
        <w:rPr>
          <w:rFonts w:hint="eastAsia" w:cs="Arial" w:asciiTheme="minorEastAsia" w:hAnsiTheme="minorEastAsia" w:eastAsiaTheme="minorEastAsia"/>
          <w:b/>
          <w:color w:val="000000"/>
          <w:sz w:val="36"/>
          <w:szCs w:val="36"/>
        </w:rPr>
        <w:t xml:space="preserve">  </w:t>
      </w:r>
      <w:r>
        <w:rPr>
          <w:rFonts w:hint="eastAsia" w:cs="Arial" w:asciiTheme="minorEastAsia" w:hAnsiTheme="minorEastAsia" w:eastAsiaTheme="minorEastAsia"/>
          <w:b/>
          <w:color w:val="000000"/>
          <w:sz w:val="36"/>
          <w:szCs w:val="36"/>
          <w:lang w:val="en-US" w:eastAsia="zh-CN"/>
        </w:rPr>
        <w:t xml:space="preserve">  </w:t>
      </w:r>
      <w:r>
        <w:rPr>
          <w:rFonts w:hint="eastAsia" w:ascii="宋体" w:hAnsi="宋体" w:eastAsia="宋体" w:cs="宋体"/>
          <w:b/>
          <w:bCs w:val="0"/>
          <w:sz w:val="36"/>
          <w:szCs w:val="36"/>
          <w:lang w:val="en-US" w:eastAsia="zh-CN"/>
        </w:rPr>
        <w:t xml:space="preserve">      </w:t>
      </w:r>
    </w:p>
    <w:p>
      <w:pPr>
        <w:pStyle w:val="2"/>
        <w:bidi w:val="0"/>
        <w:jc w:val="center"/>
        <w:rPr>
          <w:rFonts w:hint="eastAsia" w:ascii="宋体" w:hAnsi="宋体" w:eastAsia="宋体" w:cs="宋体"/>
          <w:b/>
          <w:bCs w:val="0"/>
          <w:sz w:val="36"/>
          <w:szCs w:val="36"/>
          <w:lang w:val="en-US" w:eastAsia="zh-CN"/>
        </w:rPr>
      </w:pPr>
      <w:bookmarkStart w:id="25" w:name="_Toc18074"/>
      <w:r>
        <w:rPr>
          <w:rFonts w:hint="eastAsia" w:ascii="宋体" w:hAnsi="宋体" w:eastAsia="宋体" w:cs="宋体"/>
          <w:b/>
          <w:bCs w:val="0"/>
          <w:sz w:val="36"/>
          <w:szCs w:val="36"/>
          <w:lang w:val="en-US" w:eastAsia="zh-CN"/>
        </w:rPr>
        <w:t>第五部分  附件</w:t>
      </w:r>
      <w:bookmarkEnd w:id="25"/>
    </w:p>
    <w:p>
      <w:pPr>
        <w:pStyle w:val="6"/>
        <w:shd w:val="clear" w:color="auto" w:fill="FFFFFF"/>
        <w:spacing w:line="580" w:lineRule="exact"/>
        <w:ind w:firstLine="800"/>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我单位无需要其他说明的事项。</w:t>
      </w:r>
    </w:p>
    <w:p>
      <w:pPr>
        <w:pStyle w:val="6"/>
        <w:shd w:val="clear" w:color="auto" w:fill="FFFFFF"/>
        <w:spacing w:line="580" w:lineRule="exact"/>
        <w:ind w:firstLine="800"/>
        <w:rPr>
          <w:rFonts w:ascii="仿宋_GB2312" w:eastAsia="仿宋_GB2312"/>
          <w:sz w:val="32"/>
          <w:szCs w:val="32"/>
        </w:rPr>
      </w:pPr>
      <w:r>
        <w:rPr>
          <w:rFonts w:hint="eastAsia" w:ascii="仿宋_GB2312" w:hAnsi="仿宋_GB2312" w:eastAsia="仿宋_GB2312" w:cs="仿宋_GB2312"/>
          <w:bCs/>
          <w:kern w:val="2"/>
          <w:sz w:val="32"/>
          <w:szCs w:val="32"/>
          <w:lang w:val="en-US" w:eastAsia="zh-CN" w:bidi="ar-SA"/>
        </w:rPr>
        <w:t xml:space="preserve">                    </w:t>
      </w:r>
      <w:r>
        <w:rPr>
          <w:rFonts w:hint="eastAsia" w:ascii="仿宋_GB2312" w:eastAsia="仿宋_GB2312"/>
          <w:sz w:val="32"/>
          <w:szCs w:val="32"/>
        </w:rPr>
        <w:t xml:space="preserve">      </w:t>
      </w:r>
    </w:p>
    <w:p>
      <w:pPr>
        <w:wordWrap w:val="0"/>
        <w:spacing w:line="580" w:lineRule="exact"/>
        <w:jc w:val="center"/>
        <w:rPr>
          <w:rFonts w:ascii="仿宋_GB2312" w:eastAsia="仿宋_GB2312"/>
          <w:sz w:val="32"/>
          <w:szCs w:val="32"/>
        </w:rPr>
      </w:pPr>
    </w:p>
    <w:p>
      <w:pPr>
        <w:wordWrap w:val="0"/>
        <w:spacing w:line="580" w:lineRule="exact"/>
        <w:jc w:val="center"/>
        <w:rPr>
          <w:rFonts w:hint="eastAsia" w:asciiTheme="minorEastAsia" w:hAnsiTheme="minorEastAsia" w:eastAsiaTheme="minorEastAsia"/>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p>
    <w:p>
      <w:pPr>
        <w:wordWrap w:val="0"/>
        <w:spacing w:line="580" w:lineRule="exact"/>
        <w:jc w:val="center"/>
        <w:rPr>
          <w:rFonts w:hint="eastAsia" w:asciiTheme="minorEastAsia" w:hAnsiTheme="minorEastAsia" w:eastAsiaTheme="minorEastAsia"/>
          <w:sz w:val="32"/>
          <w:szCs w:val="32"/>
        </w:rPr>
      </w:pPr>
    </w:p>
    <w:p>
      <w:pPr>
        <w:wordWrap w:val="0"/>
        <w:spacing w:line="580" w:lineRule="exact"/>
        <w:jc w:val="center"/>
        <w:rPr>
          <w:sz w:val="10"/>
          <w:szCs w:val="10"/>
        </w:rPr>
      </w:pPr>
      <w:r>
        <w:rPr>
          <w:rFonts w:hint="eastAsia" w:asciiTheme="minorEastAsia" w:hAnsiTheme="minorEastAsia" w:eastAsiaTheme="minorEastAsia"/>
          <w:sz w:val="32"/>
          <w:szCs w:val="32"/>
          <w:lang w:val="en-US" w:eastAsia="zh-CN"/>
        </w:rPr>
        <w:t xml:space="preserve">                                  </w:t>
      </w:r>
      <w:r>
        <w:rPr>
          <w:rFonts w:hint="eastAsia" w:ascii="仿宋_GB2312" w:hAnsi="仿宋_GB2312" w:eastAsia="仿宋_GB2312" w:cs="仿宋_GB2312"/>
          <w:bCs/>
          <w:kern w:val="2"/>
          <w:sz w:val="32"/>
          <w:szCs w:val="32"/>
          <w:lang w:val="en-US" w:eastAsia="zh-CN" w:bidi="ar-SA"/>
        </w:rPr>
        <w:t>大同市第二看守所                                  2022年7月27日</w:t>
      </w:r>
    </w:p>
    <w:p>
      <w:pPr>
        <w:rPr>
          <w:sz w:val="10"/>
          <w:szCs w:val="10"/>
        </w:rPr>
      </w:pPr>
    </w:p>
    <w:sectPr>
      <w:pgSz w:w="11905" w:h="16838"/>
      <w:pgMar w:top="1440" w:right="1083" w:bottom="1440" w:left="1083" w:header="851" w:footer="992" w:gutter="0"/>
      <w:pgNumType w:fmt="decimal"/>
      <w:cols w:space="0" w:num="1"/>
      <w:rtlGutter w:val="0"/>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783BCF"/>
    <w:multiLevelType w:val="singleLevel"/>
    <w:tmpl w:val="AF783BCF"/>
    <w:lvl w:ilvl="0" w:tentative="0">
      <w:start w:val="1"/>
      <w:numFmt w:val="chineseCounting"/>
      <w:suff w:val="space"/>
      <w:lvlText w:val="第%1部分"/>
      <w:lvlJc w:val="left"/>
      <w:rPr>
        <w:rFonts w:hint="eastAsia"/>
      </w:rPr>
    </w:lvl>
  </w:abstractNum>
  <w:abstractNum w:abstractNumId="1">
    <w:nsid w:val="EB7DB396"/>
    <w:multiLevelType w:val="singleLevel"/>
    <w:tmpl w:val="EB7DB396"/>
    <w:lvl w:ilvl="0" w:tentative="0">
      <w:start w:val="2"/>
      <w:numFmt w:val="chineseCounting"/>
      <w:suff w:val="nothing"/>
      <w:lvlText w:val="（%1）"/>
      <w:lvlJc w:val="left"/>
      <w:rPr>
        <w:rFonts w:hint="eastAsia"/>
      </w:rPr>
    </w:lvl>
  </w:abstractNum>
  <w:abstractNum w:abstractNumId="2">
    <w:nsid w:val="5026108C"/>
    <w:multiLevelType w:val="singleLevel"/>
    <w:tmpl w:val="5026108C"/>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wN2VhMDk4Y2NlYzM2ODJmMjI3M2ZmMDVjOWRiMDUifQ=="/>
  </w:docVars>
  <w:rsids>
    <w:rsidRoot w:val="13D671AC"/>
    <w:rsid w:val="012C10A7"/>
    <w:rsid w:val="012D0479"/>
    <w:rsid w:val="01E52B01"/>
    <w:rsid w:val="02421D02"/>
    <w:rsid w:val="029A6894"/>
    <w:rsid w:val="03D71DDD"/>
    <w:rsid w:val="03E35864"/>
    <w:rsid w:val="03F679DF"/>
    <w:rsid w:val="04620439"/>
    <w:rsid w:val="04C51E6F"/>
    <w:rsid w:val="058B7AE2"/>
    <w:rsid w:val="05C57216"/>
    <w:rsid w:val="066427B9"/>
    <w:rsid w:val="06BB68B9"/>
    <w:rsid w:val="06F55595"/>
    <w:rsid w:val="071874D5"/>
    <w:rsid w:val="07544B75"/>
    <w:rsid w:val="07BE01EF"/>
    <w:rsid w:val="07E35D35"/>
    <w:rsid w:val="08AE1E9F"/>
    <w:rsid w:val="08F46A11"/>
    <w:rsid w:val="09254672"/>
    <w:rsid w:val="09AF419E"/>
    <w:rsid w:val="09AF5ECF"/>
    <w:rsid w:val="09ED462C"/>
    <w:rsid w:val="0AFB1FDF"/>
    <w:rsid w:val="0B0E4E77"/>
    <w:rsid w:val="0B663B02"/>
    <w:rsid w:val="0BC35C62"/>
    <w:rsid w:val="0BE67BA2"/>
    <w:rsid w:val="0C0D512F"/>
    <w:rsid w:val="0C711C20"/>
    <w:rsid w:val="0C765ED2"/>
    <w:rsid w:val="0CA35A93"/>
    <w:rsid w:val="0CD8398F"/>
    <w:rsid w:val="0CE90E9D"/>
    <w:rsid w:val="0D3B3DBD"/>
    <w:rsid w:val="0D8D0483"/>
    <w:rsid w:val="0DA67AEE"/>
    <w:rsid w:val="0DF16AE2"/>
    <w:rsid w:val="0E081091"/>
    <w:rsid w:val="0E0D58AB"/>
    <w:rsid w:val="0E164EB8"/>
    <w:rsid w:val="0E214EC1"/>
    <w:rsid w:val="0E232490"/>
    <w:rsid w:val="0EA64E27"/>
    <w:rsid w:val="0F287965"/>
    <w:rsid w:val="0FA15E43"/>
    <w:rsid w:val="0FAF1FDD"/>
    <w:rsid w:val="10486B97"/>
    <w:rsid w:val="10BE6AC6"/>
    <w:rsid w:val="11401FA2"/>
    <w:rsid w:val="123A3193"/>
    <w:rsid w:val="123B7006"/>
    <w:rsid w:val="12A3059B"/>
    <w:rsid w:val="1319085D"/>
    <w:rsid w:val="134A6C68"/>
    <w:rsid w:val="13961EAE"/>
    <w:rsid w:val="13BB6B3D"/>
    <w:rsid w:val="13D671AC"/>
    <w:rsid w:val="13EA620F"/>
    <w:rsid w:val="14667AD2"/>
    <w:rsid w:val="146C7BAA"/>
    <w:rsid w:val="14773A8D"/>
    <w:rsid w:val="158226E9"/>
    <w:rsid w:val="158C265C"/>
    <w:rsid w:val="15CF16A7"/>
    <w:rsid w:val="15DE18EA"/>
    <w:rsid w:val="16207253"/>
    <w:rsid w:val="16D21CF5"/>
    <w:rsid w:val="17343EB7"/>
    <w:rsid w:val="17575E4E"/>
    <w:rsid w:val="178C5548"/>
    <w:rsid w:val="179C219A"/>
    <w:rsid w:val="17C76A44"/>
    <w:rsid w:val="17CE6C2D"/>
    <w:rsid w:val="18381785"/>
    <w:rsid w:val="18604669"/>
    <w:rsid w:val="18B623EC"/>
    <w:rsid w:val="18C13529"/>
    <w:rsid w:val="18EB2DBB"/>
    <w:rsid w:val="1A607B44"/>
    <w:rsid w:val="1B6533F5"/>
    <w:rsid w:val="1BAE482A"/>
    <w:rsid w:val="1BEC64A4"/>
    <w:rsid w:val="1CA94A00"/>
    <w:rsid w:val="1CE35695"/>
    <w:rsid w:val="1D0C4F8F"/>
    <w:rsid w:val="1D156486"/>
    <w:rsid w:val="1ED91338"/>
    <w:rsid w:val="1F80501E"/>
    <w:rsid w:val="21010F70"/>
    <w:rsid w:val="219E6AFD"/>
    <w:rsid w:val="21BA4DBD"/>
    <w:rsid w:val="21F4671D"/>
    <w:rsid w:val="23033B66"/>
    <w:rsid w:val="23040BE2"/>
    <w:rsid w:val="232B535A"/>
    <w:rsid w:val="234B7675"/>
    <w:rsid w:val="23F30C56"/>
    <w:rsid w:val="2503582D"/>
    <w:rsid w:val="25250DAB"/>
    <w:rsid w:val="257F09F3"/>
    <w:rsid w:val="258A1146"/>
    <w:rsid w:val="26A86E67"/>
    <w:rsid w:val="26BC17D3"/>
    <w:rsid w:val="26CD2103"/>
    <w:rsid w:val="27013CC2"/>
    <w:rsid w:val="274F2647"/>
    <w:rsid w:val="276966F1"/>
    <w:rsid w:val="27DE2181"/>
    <w:rsid w:val="281A3ED6"/>
    <w:rsid w:val="285F68BA"/>
    <w:rsid w:val="28AF5DED"/>
    <w:rsid w:val="295E47E8"/>
    <w:rsid w:val="29A46C7B"/>
    <w:rsid w:val="29D20BEC"/>
    <w:rsid w:val="29EC0ECA"/>
    <w:rsid w:val="2A5319FD"/>
    <w:rsid w:val="2A606C8D"/>
    <w:rsid w:val="2BF13CCD"/>
    <w:rsid w:val="2C356293"/>
    <w:rsid w:val="2CE41971"/>
    <w:rsid w:val="2D095047"/>
    <w:rsid w:val="2D8A6187"/>
    <w:rsid w:val="2DB72CF5"/>
    <w:rsid w:val="2E2959A0"/>
    <w:rsid w:val="2E3420E7"/>
    <w:rsid w:val="2ED82CC1"/>
    <w:rsid w:val="2F436F36"/>
    <w:rsid w:val="2F61116A"/>
    <w:rsid w:val="2FB97DF5"/>
    <w:rsid w:val="2FD57150"/>
    <w:rsid w:val="2FE33058"/>
    <w:rsid w:val="2FE94B30"/>
    <w:rsid w:val="302326E9"/>
    <w:rsid w:val="30A34716"/>
    <w:rsid w:val="30F11E65"/>
    <w:rsid w:val="31785014"/>
    <w:rsid w:val="3199700F"/>
    <w:rsid w:val="32033C62"/>
    <w:rsid w:val="32146CCF"/>
    <w:rsid w:val="326628C7"/>
    <w:rsid w:val="32E95947"/>
    <w:rsid w:val="331D46CC"/>
    <w:rsid w:val="336B25B7"/>
    <w:rsid w:val="33A84AD0"/>
    <w:rsid w:val="33E660E2"/>
    <w:rsid w:val="34060532"/>
    <w:rsid w:val="34604683"/>
    <w:rsid w:val="34A639F3"/>
    <w:rsid w:val="34E46AC5"/>
    <w:rsid w:val="34F42AC0"/>
    <w:rsid w:val="35977DB1"/>
    <w:rsid w:val="35AB313F"/>
    <w:rsid w:val="362D7FF8"/>
    <w:rsid w:val="37296912"/>
    <w:rsid w:val="375D66BB"/>
    <w:rsid w:val="38066D52"/>
    <w:rsid w:val="389E6F8B"/>
    <w:rsid w:val="39A40E25"/>
    <w:rsid w:val="39AB70C9"/>
    <w:rsid w:val="39BA5499"/>
    <w:rsid w:val="39F578C4"/>
    <w:rsid w:val="3A0F488C"/>
    <w:rsid w:val="3A90095A"/>
    <w:rsid w:val="3A9B19D4"/>
    <w:rsid w:val="3AFE01B5"/>
    <w:rsid w:val="3B260345"/>
    <w:rsid w:val="3CA60B04"/>
    <w:rsid w:val="3CC01B5E"/>
    <w:rsid w:val="3D4F3E37"/>
    <w:rsid w:val="3DB74075"/>
    <w:rsid w:val="3DCD42DF"/>
    <w:rsid w:val="3E3F7FF3"/>
    <w:rsid w:val="3E5A1BA6"/>
    <w:rsid w:val="3E661C02"/>
    <w:rsid w:val="3E832EAB"/>
    <w:rsid w:val="3EBD7E9E"/>
    <w:rsid w:val="3ED43706"/>
    <w:rsid w:val="3EF142B8"/>
    <w:rsid w:val="3F023B2A"/>
    <w:rsid w:val="3F1A2055"/>
    <w:rsid w:val="3FE94F8F"/>
    <w:rsid w:val="401960CE"/>
    <w:rsid w:val="402266F3"/>
    <w:rsid w:val="40440A7D"/>
    <w:rsid w:val="40730CFD"/>
    <w:rsid w:val="40827938"/>
    <w:rsid w:val="40B12940"/>
    <w:rsid w:val="40B820CA"/>
    <w:rsid w:val="40F57964"/>
    <w:rsid w:val="41962E1D"/>
    <w:rsid w:val="41B36FD9"/>
    <w:rsid w:val="42530DE6"/>
    <w:rsid w:val="42B5384F"/>
    <w:rsid w:val="42D340AE"/>
    <w:rsid w:val="42DA5063"/>
    <w:rsid w:val="42F7157A"/>
    <w:rsid w:val="42FE6FA4"/>
    <w:rsid w:val="430B16C1"/>
    <w:rsid w:val="43240474"/>
    <w:rsid w:val="43754D8C"/>
    <w:rsid w:val="43944869"/>
    <w:rsid w:val="43B6787E"/>
    <w:rsid w:val="43D756BF"/>
    <w:rsid w:val="44652B2E"/>
    <w:rsid w:val="4478471D"/>
    <w:rsid w:val="4496320C"/>
    <w:rsid w:val="449C6A74"/>
    <w:rsid w:val="44B34465"/>
    <w:rsid w:val="450373A3"/>
    <w:rsid w:val="456C67DF"/>
    <w:rsid w:val="45A155E6"/>
    <w:rsid w:val="45DD6443"/>
    <w:rsid w:val="460008B6"/>
    <w:rsid w:val="46537607"/>
    <w:rsid w:val="465515FF"/>
    <w:rsid w:val="474927B8"/>
    <w:rsid w:val="476D46F8"/>
    <w:rsid w:val="479003E6"/>
    <w:rsid w:val="47E04ECA"/>
    <w:rsid w:val="47EB7667"/>
    <w:rsid w:val="48081D82"/>
    <w:rsid w:val="4816291B"/>
    <w:rsid w:val="483E7359"/>
    <w:rsid w:val="48711693"/>
    <w:rsid w:val="48896869"/>
    <w:rsid w:val="48C4422D"/>
    <w:rsid w:val="48D657E3"/>
    <w:rsid w:val="490746D8"/>
    <w:rsid w:val="492029CB"/>
    <w:rsid w:val="4984721C"/>
    <w:rsid w:val="499248EA"/>
    <w:rsid w:val="49EA60A3"/>
    <w:rsid w:val="4B015CCE"/>
    <w:rsid w:val="4BB02E05"/>
    <w:rsid w:val="4BE672D8"/>
    <w:rsid w:val="4BEE392E"/>
    <w:rsid w:val="4C714C8A"/>
    <w:rsid w:val="4C9B3AA7"/>
    <w:rsid w:val="4D115B26"/>
    <w:rsid w:val="4D333CEE"/>
    <w:rsid w:val="4DF13B7E"/>
    <w:rsid w:val="4E93713A"/>
    <w:rsid w:val="4ED30E28"/>
    <w:rsid w:val="4F53436C"/>
    <w:rsid w:val="5080549C"/>
    <w:rsid w:val="509B2FAA"/>
    <w:rsid w:val="50D17AA6"/>
    <w:rsid w:val="51281690"/>
    <w:rsid w:val="518014CC"/>
    <w:rsid w:val="51D35A9F"/>
    <w:rsid w:val="524E1D5E"/>
    <w:rsid w:val="525440B7"/>
    <w:rsid w:val="528C1FBC"/>
    <w:rsid w:val="528C4B1C"/>
    <w:rsid w:val="528F038A"/>
    <w:rsid w:val="52C91F62"/>
    <w:rsid w:val="53204D14"/>
    <w:rsid w:val="53E63D46"/>
    <w:rsid w:val="53F00B8B"/>
    <w:rsid w:val="541B478E"/>
    <w:rsid w:val="545C1D7C"/>
    <w:rsid w:val="55684751"/>
    <w:rsid w:val="557475AB"/>
    <w:rsid w:val="55930949"/>
    <w:rsid w:val="55A311A0"/>
    <w:rsid w:val="55C962C6"/>
    <w:rsid w:val="55EA689C"/>
    <w:rsid w:val="57460AC2"/>
    <w:rsid w:val="57831D16"/>
    <w:rsid w:val="57FB25EA"/>
    <w:rsid w:val="58716EA9"/>
    <w:rsid w:val="58B32187"/>
    <w:rsid w:val="58B4053E"/>
    <w:rsid w:val="59091A10"/>
    <w:rsid w:val="59701658"/>
    <w:rsid w:val="597A4A53"/>
    <w:rsid w:val="597C0174"/>
    <w:rsid w:val="599C1C89"/>
    <w:rsid w:val="5A70032F"/>
    <w:rsid w:val="5A8867AF"/>
    <w:rsid w:val="5A8F3351"/>
    <w:rsid w:val="5ACB7C80"/>
    <w:rsid w:val="5B3C6463"/>
    <w:rsid w:val="5BA56442"/>
    <w:rsid w:val="5BE663CF"/>
    <w:rsid w:val="5C8005D2"/>
    <w:rsid w:val="5CB424C4"/>
    <w:rsid w:val="5D3513BC"/>
    <w:rsid w:val="5E5F4D8B"/>
    <w:rsid w:val="5FDE6237"/>
    <w:rsid w:val="5FF732A1"/>
    <w:rsid w:val="604B7951"/>
    <w:rsid w:val="605F47B9"/>
    <w:rsid w:val="60AE52C8"/>
    <w:rsid w:val="619A115C"/>
    <w:rsid w:val="62436CEE"/>
    <w:rsid w:val="62C3746A"/>
    <w:rsid w:val="62E03E73"/>
    <w:rsid w:val="645C2D7B"/>
    <w:rsid w:val="64660AC3"/>
    <w:rsid w:val="6477050C"/>
    <w:rsid w:val="64771F77"/>
    <w:rsid w:val="649151E4"/>
    <w:rsid w:val="64E61678"/>
    <w:rsid w:val="65072C96"/>
    <w:rsid w:val="651672CE"/>
    <w:rsid w:val="65476A4C"/>
    <w:rsid w:val="65E550C0"/>
    <w:rsid w:val="65EA5C9E"/>
    <w:rsid w:val="660D6878"/>
    <w:rsid w:val="668A1EB7"/>
    <w:rsid w:val="679D250C"/>
    <w:rsid w:val="68543872"/>
    <w:rsid w:val="688C4794"/>
    <w:rsid w:val="68983563"/>
    <w:rsid w:val="6905258B"/>
    <w:rsid w:val="691D39E3"/>
    <w:rsid w:val="693243EA"/>
    <w:rsid w:val="6999141B"/>
    <w:rsid w:val="69A022B3"/>
    <w:rsid w:val="6A1F3163"/>
    <w:rsid w:val="6A507835"/>
    <w:rsid w:val="6AF747FE"/>
    <w:rsid w:val="6AFA59F3"/>
    <w:rsid w:val="6B4B0570"/>
    <w:rsid w:val="6BBC6CDC"/>
    <w:rsid w:val="6C2A2765"/>
    <w:rsid w:val="6D4F69FE"/>
    <w:rsid w:val="6DD8574A"/>
    <w:rsid w:val="6DF8446C"/>
    <w:rsid w:val="6E647D53"/>
    <w:rsid w:val="6ED07197"/>
    <w:rsid w:val="6ED22F0F"/>
    <w:rsid w:val="6FC34EEE"/>
    <w:rsid w:val="6FF9404A"/>
    <w:rsid w:val="704A4D27"/>
    <w:rsid w:val="706758D9"/>
    <w:rsid w:val="708B5A6B"/>
    <w:rsid w:val="7091550C"/>
    <w:rsid w:val="70DC5EF3"/>
    <w:rsid w:val="710E5989"/>
    <w:rsid w:val="71481634"/>
    <w:rsid w:val="714E71ED"/>
    <w:rsid w:val="715B7B25"/>
    <w:rsid w:val="717464FF"/>
    <w:rsid w:val="71F413EE"/>
    <w:rsid w:val="72031631"/>
    <w:rsid w:val="72693B8A"/>
    <w:rsid w:val="72DF66EF"/>
    <w:rsid w:val="73216213"/>
    <w:rsid w:val="732B0E40"/>
    <w:rsid w:val="73335F46"/>
    <w:rsid w:val="73FA3514"/>
    <w:rsid w:val="743D44A4"/>
    <w:rsid w:val="74B9247B"/>
    <w:rsid w:val="74FD6094"/>
    <w:rsid w:val="75154854"/>
    <w:rsid w:val="75371D1E"/>
    <w:rsid w:val="75E33C54"/>
    <w:rsid w:val="76164029"/>
    <w:rsid w:val="766A6F07"/>
    <w:rsid w:val="76CA1C7B"/>
    <w:rsid w:val="76DA52BB"/>
    <w:rsid w:val="778D649E"/>
    <w:rsid w:val="77A94A29"/>
    <w:rsid w:val="77BF5846"/>
    <w:rsid w:val="7840713B"/>
    <w:rsid w:val="78FC727A"/>
    <w:rsid w:val="7A030765"/>
    <w:rsid w:val="7A1E6E1F"/>
    <w:rsid w:val="7A322A8B"/>
    <w:rsid w:val="7A3F3423"/>
    <w:rsid w:val="7AE30252"/>
    <w:rsid w:val="7B35445B"/>
    <w:rsid w:val="7B6770D5"/>
    <w:rsid w:val="7B806E47"/>
    <w:rsid w:val="7BC277BE"/>
    <w:rsid w:val="7BED3344"/>
    <w:rsid w:val="7BF34B3B"/>
    <w:rsid w:val="7D364757"/>
    <w:rsid w:val="7D553689"/>
    <w:rsid w:val="7D5F5DF8"/>
    <w:rsid w:val="7DA17844"/>
    <w:rsid w:val="7EF23AA2"/>
    <w:rsid w:val="7F362D52"/>
    <w:rsid w:val="7F4D61DF"/>
    <w:rsid w:val="7F5D6825"/>
    <w:rsid w:val="7FF22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10"/>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9">
    <w:name w:val="List Paragraph"/>
    <w:basedOn w:val="1"/>
    <w:unhideWhenUsed/>
    <w:qFormat/>
    <w:uiPriority w:val="99"/>
    <w:pPr>
      <w:ind w:firstLine="420" w:firstLineChars="200"/>
    </w:pPr>
  </w:style>
  <w:style w:type="character" w:customStyle="1" w:styleId="10">
    <w:name w:val="标题 2 Char"/>
    <w:link w:val="3"/>
    <w:uiPriority w:val="0"/>
    <w:rPr>
      <w:rFonts w:ascii="Arial" w:hAnsi="Arial" w:eastAsia="黑体"/>
      <w:b/>
      <w:sz w:val="32"/>
    </w:rPr>
  </w:style>
  <w:style w:type="paragraph" w:customStyle="1" w:styleId="11">
    <w:name w:val="WPSOffice手动目录 1"/>
    <w:uiPriority w:val="0"/>
    <w:pPr>
      <w:ind w:leftChars="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6809</Words>
  <Characters>8245</Characters>
  <Lines>0</Lines>
  <Paragraphs>0</Paragraphs>
  <TotalTime>7</TotalTime>
  <ScaleCrop>false</ScaleCrop>
  <LinksUpToDate>false</LinksUpToDate>
  <CharactersWithSpaces>8724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2022-07-27T04:24:00Z</dcterms:created>
  <dc:creator>大眼睛</dc:creator>
  <cp:lastModifiedBy>FallingUpstream</cp:lastModifiedBy>
  <dcterms:modified xsi:type="dcterms:W3CDTF">2023-09-29T09:08:48Z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1992E9B07EF944FEBE2A8E5D0FE1EB5C</vt:lpwstr>
  </property>
</Properties>
</file>