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宋体" w:hAnsi="宋体" w:eastAsia="宋体" w:cs="宋体"/>
          <w:kern w:val="2"/>
          <w:sz w:val="28"/>
          <w:szCs w:val="28"/>
          <w:lang w:val="en-US" w:eastAsia="zh-CN" w:bidi="ar-SA"/>
        </w:rPr>
        <w:id w:val="147456358"/>
        <w15:color w:val="DBDBDB"/>
        <w:docPartObj>
          <w:docPartGallery w:val="Table of Contents"/>
          <w:docPartUnique/>
        </w:docPartObj>
      </w:sdtPr>
      <w:sdtEndPr>
        <w:rPr>
          <w:rFonts w:hint="eastAsia" w:ascii="宋体" w:hAnsi="宋体" w:eastAsia="宋体" w:cs="宋体"/>
          <w:b/>
          <w:color w:val="000000"/>
          <w:kern w:val="2"/>
          <w:sz w:val="28"/>
          <w:szCs w:val="28"/>
          <w:lang w:val="en-US" w:eastAsia="zh-CN" w:bidi="ar-SA"/>
        </w:rPr>
      </w:sdtEndPr>
      <w:sdtContent>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hint="eastAsia" w:ascii="宋体" w:hAnsi="宋体" w:eastAsia="宋体" w:cs="宋体"/>
              <w:kern w:val="2"/>
              <w:sz w:val="28"/>
              <w:szCs w:val="28"/>
              <w:lang w:val="en-US" w:eastAsia="zh-CN" w:bidi="ar-SA"/>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r>
            <w:rPr>
              <w:rFonts w:ascii="华文中宋" w:hAnsi="华文中宋" w:eastAsia="华文中宋" w:cs="华文中宋"/>
              <w:color w:val="000000"/>
              <w:kern w:val="0"/>
              <w:sz w:val="40"/>
              <w:szCs w:val="40"/>
              <w:lang w:val="en-US" w:eastAsia="zh-CN" w:bidi="ar"/>
            </w:rPr>
            <w:t>大 同 市 第 二 看 守 所</w:t>
          </w: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sz w:val="24"/>
              <w:szCs w:val="32"/>
            </w:rPr>
          </w:pPr>
          <w:r>
            <w:rPr>
              <w:rFonts w:hint="eastAsia" w:ascii="华文中宋" w:hAnsi="华文中宋" w:eastAsia="华文中宋" w:cs="华文中宋"/>
              <w:color w:val="000000"/>
              <w:kern w:val="0"/>
              <w:sz w:val="40"/>
              <w:szCs w:val="40"/>
              <w:lang w:val="en-US" w:eastAsia="zh-CN" w:bidi="ar"/>
            </w:rPr>
            <w:t>2 0 2 2年 度 单 位 预 算 公 开</w:t>
          </w:r>
        </w:p>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宋体" w:hAnsi="宋体" w:eastAsia="宋体" w:cs="宋体"/>
              <w:kern w:val="2"/>
              <w:sz w:val="28"/>
              <w:szCs w:val="28"/>
              <w:lang w:val="en-US" w:eastAsia="zh-CN" w:bidi="ar-SA"/>
            </w:rPr>
            <w:sectPr>
              <w:pgSz w:w="11906" w:h="16838"/>
              <w:pgMar w:top="1134" w:right="1080" w:bottom="1440" w:left="1080" w:header="851" w:footer="992" w:gutter="0"/>
              <w:cols w:space="0" w:num="1"/>
              <w:rtlGutter w:val="0"/>
              <w:docGrid w:type="lines" w:linePitch="312" w:charSpace="0"/>
            </w:sectPr>
          </w:pPr>
        </w:p>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黑体" w:hAnsi="黑体" w:eastAsia="黑体" w:cs="黑体"/>
              <w:sz w:val="44"/>
              <w:szCs w:val="44"/>
            </w:rPr>
          </w:pPr>
          <w:bookmarkStart w:id="24" w:name="_GoBack"/>
          <w:r>
            <w:rPr>
              <w:rFonts w:hint="eastAsia" w:ascii="黑体" w:hAnsi="黑体" w:eastAsia="黑体" w:cs="黑体"/>
              <w:sz w:val="44"/>
              <w:szCs w:val="44"/>
            </w:rPr>
            <w:t>目录</w:t>
          </w:r>
        </w:p>
        <w:bookmarkEnd w:id="24"/>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color w:val="000000"/>
              <w:sz w:val="28"/>
              <w:szCs w:val="28"/>
            </w:rPr>
            <w:instrText xml:space="preserve">TOC \o "1-2" \h \u </w:instrText>
          </w:r>
          <w:r>
            <w:rPr>
              <w:rFonts w:hint="eastAsia" w:ascii="宋体" w:hAnsi="宋体" w:eastAsia="宋体" w:cs="宋体"/>
              <w:b/>
              <w:color w:val="000000"/>
              <w:sz w:val="28"/>
              <w:szCs w:val="28"/>
            </w:rPr>
            <w:fldChar w:fldCharType="separate"/>
          </w: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_Toc28867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第一部分 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_Toc28867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_Toc18843 </w:instrText>
          </w:r>
          <w:r>
            <w:rPr>
              <w:rFonts w:hint="eastAsia" w:ascii="仿宋" w:hAnsi="仿宋" w:eastAsia="仿宋" w:cs="仿宋"/>
              <w:sz w:val="28"/>
              <w:szCs w:val="28"/>
            </w:rPr>
            <w:fldChar w:fldCharType="separate"/>
          </w:r>
          <w:r>
            <w:rPr>
              <w:rFonts w:hint="eastAsia" w:ascii="仿宋" w:hAnsi="仿宋" w:eastAsia="仿宋" w:cs="仿宋"/>
              <w:bCs/>
              <w:sz w:val="28"/>
              <w:szCs w:val="28"/>
            </w:rPr>
            <w:t>一、</w:t>
          </w:r>
          <w:r>
            <w:rPr>
              <w:rFonts w:hint="eastAsia" w:ascii="仿宋" w:hAnsi="仿宋" w:eastAsia="仿宋" w:cs="仿宋"/>
              <w:bCs/>
              <w:sz w:val="28"/>
              <w:szCs w:val="28"/>
              <w:lang w:val="en-US" w:eastAsia="zh-CN"/>
            </w:rPr>
            <w:t>本单位职责</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_Toc18843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_Toc31626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二、机构设置情况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_Toc31626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_Toc26246 </w:instrText>
          </w:r>
          <w:r>
            <w:rPr>
              <w:rFonts w:hint="eastAsia" w:ascii="仿宋" w:hAnsi="仿宋" w:eastAsia="仿宋" w:cs="仿宋"/>
              <w:sz w:val="28"/>
              <w:szCs w:val="28"/>
            </w:rPr>
            <w:fldChar w:fldCharType="separate"/>
          </w:r>
          <w:r>
            <w:rPr>
              <w:rFonts w:hint="eastAsia" w:ascii="黑体" w:hAnsi="黑体" w:eastAsia="黑体" w:cs="黑体"/>
              <w:b w:val="0"/>
              <w:bCs w:val="0"/>
              <w:sz w:val="28"/>
              <w:szCs w:val="28"/>
              <w:lang w:val="en-US" w:eastAsia="zh-CN"/>
            </w:rPr>
            <w:t>第二部分  2022年单位预算报表</w:t>
          </w:r>
          <w:r>
            <w:rPr>
              <w:rFonts w:hint="eastAsia" w:ascii="黑体" w:hAnsi="黑体" w:eastAsia="黑体" w:cs="黑体"/>
              <w:b w:val="0"/>
              <w:bCs w:val="0"/>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_Toc26246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_Toc16553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2022年预算收支总表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_Toc16553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_Toc18604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2022年预算收入总表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_Toc18604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_Toc30282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2022年预算支出总表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_Toc30282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_Toc16811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2022年财政拨款收支总表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_Toc16811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_Toc13133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2022年一般公共预算支出预算表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_Toc13133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_Toc12745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2022年一般公共预算安排基本支出分经济科目表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_Toc12745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_Toc4120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2022年政府性基金预算收入表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_Toc4120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_Toc11282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2022年政府性基金预算支出表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_Toc11282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_Toc9955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2022年国有资本经营预算收支预算表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_Toc9955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_Toc12261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2022年一般公共预算“三公”经费支出情况统计表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_Toc12261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_Toc14186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2022年机关运行经费预算财政拨款情况统计表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_Toc14186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黑体" w:hAnsi="黑体" w:eastAsia="黑体" w:cs="黑体"/>
              <w:sz w:val="28"/>
              <w:szCs w:val="28"/>
            </w:rPr>
          </w:pP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_Toc19563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第三部分  2022年度单位预算情况说明</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_Toc19563 \h </w:instrText>
          </w:r>
          <w:r>
            <w:rPr>
              <w:rFonts w:hint="eastAsia" w:ascii="黑体" w:hAnsi="黑体" w:eastAsia="黑体" w:cs="黑体"/>
              <w:sz w:val="28"/>
              <w:szCs w:val="28"/>
            </w:rPr>
            <w:fldChar w:fldCharType="separate"/>
          </w:r>
          <w:r>
            <w:rPr>
              <w:rFonts w:hint="eastAsia" w:ascii="黑体" w:hAnsi="黑体" w:eastAsia="黑体" w:cs="黑体"/>
              <w:sz w:val="28"/>
              <w:szCs w:val="28"/>
            </w:rPr>
            <w:t>8</w:t>
          </w:r>
          <w:r>
            <w:rPr>
              <w:rFonts w:hint="eastAsia" w:ascii="黑体" w:hAnsi="黑体" w:eastAsia="黑体" w:cs="黑体"/>
              <w:sz w:val="28"/>
              <w:szCs w:val="28"/>
            </w:rPr>
            <w:fldChar w:fldCharType="end"/>
          </w:r>
          <w:r>
            <w:rPr>
              <w:rFonts w:hint="eastAsia" w:ascii="黑体" w:hAnsi="黑体" w:eastAsia="黑体" w:cs="黑体"/>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_Toc4395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一、部门预算收支情况说明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_Toc4395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_Toc25682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二、机关运行经费安排情况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_Toc25682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_Toc16538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三、国有资产占有情况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_Toc16538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_Toc15544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四、重点项目预算绩效目标等预算绩效情况说明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_Toc15544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_Toc7922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五、“三公”经费情况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_Toc7922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_Toc6197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六、2022年政府采购情况预算</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_Toc6197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_Toc8587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七、专业名词解释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_Toc8587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黑体" w:hAnsi="黑体" w:eastAsia="黑体" w:cs="黑体"/>
            </w:rPr>
          </w:pP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_Toc26460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第四部分 政府性基金预算情况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_Toc26460 \h </w:instrText>
          </w:r>
          <w:r>
            <w:rPr>
              <w:rFonts w:hint="eastAsia" w:ascii="黑体" w:hAnsi="黑体" w:eastAsia="黑体" w:cs="黑体"/>
              <w:sz w:val="28"/>
              <w:szCs w:val="28"/>
            </w:rPr>
            <w:fldChar w:fldCharType="separate"/>
          </w:r>
          <w:r>
            <w:rPr>
              <w:rFonts w:hint="eastAsia" w:ascii="黑体" w:hAnsi="黑体" w:eastAsia="黑体" w:cs="黑体"/>
              <w:sz w:val="28"/>
              <w:szCs w:val="28"/>
            </w:rPr>
            <w:t>13</w:t>
          </w:r>
          <w:r>
            <w:rPr>
              <w:rFonts w:hint="eastAsia" w:ascii="黑体" w:hAnsi="黑体" w:eastAsia="黑体" w:cs="黑体"/>
              <w:sz w:val="28"/>
              <w:szCs w:val="28"/>
            </w:rPr>
            <w:fldChar w:fldCharType="end"/>
          </w:r>
          <w:r>
            <w:rPr>
              <w:rFonts w:hint="eastAsia" w:ascii="黑体" w:hAnsi="黑体" w:eastAsia="黑体" w:cs="黑体"/>
              <w:color w:val="000000"/>
              <w:sz w:val="28"/>
              <w:szCs w:val="28"/>
            </w:rPr>
            <w:fldChar w:fldCharType="end"/>
          </w:r>
        </w:p>
        <w:p>
          <w:pPr>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b/>
              <w:color w:val="000000"/>
              <w:sz w:val="44"/>
              <w:szCs w:val="44"/>
            </w:rPr>
            <w:sectPr>
              <w:footerReference r:id="rId3" w:type="default"/>
              <w:pgSz w:w="11906" w:h="16838"/>
              <w:pgMar w:top="1134" w:right="1080" w:bottom="1440" w:left="1080" w:header="851" w:footer="992" w:gutter="0"/>
              <w:pgNumType w:start="1"/>
              <w:cols w:space="0" w:num="1"/>
              <w:rtlGutter w:val="0"/>
              <w:docGrid w:type="lines" w:linePitch="312" w:charSpace="0"/>
            </w:sectPr>
          </w:pPr>
          <w:r>
            <w:rPr>
              <w:rFonts w:hint="eastAsia" w:ascii="宋体" w:hAnsi="宋体" w:eastAsia="宋体" w:cs="宋体"/>
              <w:color w:val="000000"/>
              <w:szCs w:val="28"/>
            </w:rPr>
            <w:fldChar w:fldCharType="end"/>
          </w:r>
        </w:p>
      </w:sdtContent>
    </w:sdt>
    <w:p>
      <w:pPr>
        <w:jc w:val="both"/>
        <w:rPr>
          <w:rFonts w:hint="eastAsia" w:ascii="宋体" w:hAnsi="宋体"/>
          <w:b/>
          <w:color w:val="000000"/>
          <w:sz w:val="44"/>
          <w:szCs w:val="44"/>
        </w:rPr>
      </w:pPr>
    </w:p>
    <w:p>
      <w:pPr>
        <w:pStyle w:val="2"/>
        <w:bidi w:val="0"/>
        <w:jc w:val="center"/>
        <w:rPr>
          <w:rFonts w:hint="eastAsia"/>
          <w:sz w:val="36"/>
          <w:szCs w:val="36"/>
        </w:rPr>
      </w:pPr>
      <w:bookmarkStart w:id="0" w:name="_Toc28867"/>
      <w:r>
        <w:rPr>
          <w:rFonts w:hint="eastAsia"/>
          <w:sz w:val="36"/>
          <w:szCs w:val="36"/>
          <w:lang w:val="en-US" w:eastAsia="zh-CN"/>
        </w:rPr>
        <w:t>第一部分 概况</w:t>
      </w:r>
      <w:bookmarkEnd w:id="0"/>
    </w:p>
    <w:p>
      <w:pPr>
        <w:pStyle w:val="3"/>
        <w:bidi w:val="0"/>
        <w:ind w:firstLine="640" w:firstLineChars="200"/>
        <w:rPr>
          <w:rFonts w:hint="default"/>
          <w:b w:val="0"/>
          <w:bCs/>
          <w:lang w:val="en-US" w:eastAsia="zh-CN"/>
        </w:rPr>
      </w:pPr>
      <w:bookmarkStart w:id="1" w:name="_Toc18843"/>
      <w:r>
        <w:rPr>
          <w:rFonts w:hint="eastAsia"/>
          <w:b w:val="0"/>
          <w:bCs/>
        </w:rPr>
        <w:t>一、</w:t>
      </w:r>
      <w:r>
        <w:rPr>
          <w:rFonts w:hint="eastAsia"/>
          <w:b w:val="0"/>
          <w:bCs/>
          <w:lang w:val="en-US" w:eastAsia="zh-CN"/>
        </w:rPr>
        <w:t>本单位职责</w:t>
      </w:r>
      <w:bookmarkEnd w:id="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eastAsia="zh-CN"/>
        </w:rPr>
        <w:t>大同市第二看守所</w:t>
      </w:r>
      <w:r>
        <w:rPr>
          <w:rFonts w:hint="eastAsia" w:ascii="仿宋_GB2312" w:eastAsia="仿宋_GB2312"/>
          <w:sz w:val="32"/>
          <w:szCs w:val="32"/>
        </w:rPr>
        <w:t xml:space="preserve">主要承担以下工作职责：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羁押依法被逮捕、刑事拘留的人犯，监管余刑在三个月以下的罪犯；</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对被羁押的人犯实行武装警戒看守，保障安全，对人犯进行教育；</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管理人犯的生活和卫生，保障侦查、起诉和审判工作的顺利进行；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对新入所的人犯办理各种入所手续，建立人犯档案并严格保管所有人犯档案；</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对出所受审转送外地或者出所就医的人犯实行武装押解；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对羁押在所内在押人员进行教育，体现政策，以理服人，保障安全。</w:t>
      </w:r>
    </w:p>
    <w:p>
      <w:pPr>
        <w:pStyle w:val="3"/>
        <w:bidi w:val="0"/>
        <w:ind w:firstLine="640" w:firstLineChars="200"/>
        <w:rPr>
          <w:rFonts w:hint="eastAsia"/>
          <w:b w:val="0"/>
          <w:bCs/>
          <w:lang w:val="en-US" w:eastAsia="zh-CN"/>
        </w:rPr>
      </w:pPr>
      <w:bookmarkStart w:id="2" w:name="_Toc31626"/>
      <w:r>
        <w:rPr>
          <w:rFonts w:hint="eastAsia"/>
          <w:b w:val="0"/>
          <w:bCs/>
          <w:lang w:val="en-US" w:eastAsia="zh-CN"/>
        </w:rPr>
        <w:t>二、机构设置情况</w:t>
      </w:r>
      <w:bookmarkEnd w:id="2"/>
    </w:p>
    <w:p>
      <w:pPr>
        <w:spacing w:line="580" w:lineRule="exact"/>
        <w:ind w:firstLine="640" w:firstLineChars="200"/>
        <w:rPr>
          <w:rFonts w:hint="eastAsia"/>
          <w:b/>
          <w:sz w:val="36"/>
          <w:szCs w:val="36"/>
          <w:lang w:val="en-US" w:eastAsia="zh-CN"/>
        </w:rPr>
      </w:pPr>
      <w:r>
        <w:rPr>
          <w:rFonts w:hint="eastAsia" w:ascii="仿宋_GB2312" w:hAnsi="仿宋_GB2312" w:eastAsia="仿宋_GB2312" w:cs="仿宋_GB2312"/>
          <w:b w:val="0"/>
          <w:bCs/>
          <w:sz w:val="32"/>
          <w:szCs w:val="32"/>
          <w:lang w:val="en-US" w:eastAsia="zh-CN"/>
        </w:rPr>
        <w:t>大同市第二看守所为副处（县）级建制单位，是羁押依法被逮捕、刑事拘留的犯罪嫌疑人的机关，羁押依法被刑事拘留、逮捕的犯罪嫌疑人、被告人。看守所的任务是依法对被羁押的犯罪嫌疑人、被告人实行武装警戒看守，保证安全，对犯罪嫌疑人、被告人进行管理教育，保障侦查、起诉、审批工作的顺利进行；将罪犯送交刑罚执行机关执行刑罚。为进一步加强监所执法规范化建设，提升监所管理水平</w:t>
      </w:r>
    </w:p>
    <w:p>
      <w:pPr>
        <w:pStyle w:val="2"/>
        <w:bidi w:val="0"/>
        <w:jc w:val="both"/>
        <w:outlineLvl w:val="9"/>
        <w:rPr>
          <w:rFonts w:hint="eastAsia"/>
          <w:b/>
          <w:sz w:val="36"/>
          <w:szCs w:val="36"/>
          <w:lang w:val="en-US" w:eastAsia="zh-CN"/>
        </w:rPr>
      </w:pPr>
    </w:p>
    <w:p>
      <w:pPr>
        <w:rPr>
          <w:rFonts w:hint="eastAsia"/>
          <w:lang w:val="en-US" w:eastAsia="zh-CN"/>
        </w:rPr>
      </w:pPr>
    </w:p>
    <w:p>
      <w:pPr>
        <w:pStyle w:val="2"/>
        <w:bidi w:val="0"/>
        <w:jc w:val="center"/>
        <w:rPr>
          <w:rFonts w:hint="eastAsia"/>
          <w:b/>
          <w:sz w:val="36"/>
          <w:szCs w:val="36"/>
          <w:lang w:val="en-US" w:eastAsia="zh-CN"/>
        </w:rPr>
      </w:pPr>
      <w:bookmarkStart w:id="3" w:name="_Toc26246"/>
      <w:r>
        <w:rPr>
          <w:rFonts w:hint="eastAsia"/>
          <w:b/>
          <w:sz w:val="36"/>
          <w:szCs w:val="36"/>
          <w:lang w:val="en-US" w:eastAsia="zh-CN"/>
        </w:rPr>
        <w:t>第二部分  2022年单位预算报表</w:t>
      </w:r>
      <w:bookmarkEnd w:id="3"/>
    </w:p>
    <w:tbl>
      <w:tblPr>
        <w:tblStyle w:val="9"/>
        <w:tblpPr w:leftFromText="180" w:rightFromText="180" w:vertAnchor="text" w:horzAnchor="page" w:tblpX="1127" w:tblpY="397"/>
        <w:tblOverlap w:val="neve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16"/>
        <w:gridCol w:w="2030"/>
        <w:gridCol w:w="2843"/>
        <w:gridCol w:w="19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6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42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98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4"/>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4" w:name="_Toc16553"/>
            <w:r>
              <w:rPr>
                <w:rFonts w:hint="eastAsia" w:ascii="黑体" w:hAnsi="黑体" w:eastAsia="黑体" w:cs="黑体"/>
                <w:b w:val="0"/>
                <w:bCs/>
                <w:lang w:val="en-US" w:eastAsia="zh-CN"/>
              </w:rPr>
              <w:t>2022年预算收支总表</w:t>
            </w:r>
            <w:bookmarkEnd w:id="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6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部门:[047006]大同市第二看守所</w:t>
            </w:r>
          </w:p>
        </w:tc>
        <w:tc>
          <w:tcPr>
            <w:tcW w:w="102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42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98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258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24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四、财政专户管理资金</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五、单位资金</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r>
    </w:tbl>
    <w:p>
      <w:pPr>
        <w:numPr>
          <w:ilvl w:val="0"/>
          <w:numId w:val="0"/>
        </w:numPr>
        <w:ind w:leftChars="-68"/>
        <w:rPr>
          <w:rFonts w:hint="eastAsia" w:ascii="黑体" w:eastAsia="黑体"/>
          <w:b/>
          <w:sz w:val="32"/>
          <w:szCs w:val="32"/>
        </w:rPr>
      </w:pPr>
    </w:p>
    <w:p>
      <w:pPr>
        <w:jc w:val="cente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6"/>
        <w:gridCol w:w="3116"/>
        <w:gridCol w:w="1224"/>
        <w:gridCol w:w="1224"/>
        <w:gridCol w:w="570"/>
        <w:gridCol w:w="571"/>
        <w:gridCol w:w="571"/>
        <w:gridCol w:w="1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6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8"/>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5" w:name="_Toc18604"/>
            <w:r>
              <w:rPr>
                <w:rFonts w:hint="eastAsia" w:ascii="黑体" w:hAnsi="黑体" w:eastAsia="黑体" w:cs="黑体"/>
                <w:b w:val="0"/>
                <w:bCs/>
                <w:lang w:val="en-US" w:eastAsia="zh-CN"/>
              </w:rPr>
              <w:t>2022年预算收入总表</w:t>
            </w:r>
            <w:bookmarkEnd w:id="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6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1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3683"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功能科目编码</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功能科目名称</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财政专户管理资金</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8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[2040202]一般行政管理事务</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黑体" w:eastAsia="黑体"/>
          <w:b/>
          <w:sz w:val="32"/>
          <w:szCs w:val="32"/>
        </w:rPr>
      </w:pPr>
    </w:p>
    <w:p>
      <w:pPr>
        <w:ind w:left="218" w:leftChars="0" w:hanging="218" w:hangingChars="68"/>
        <w:rPr>
          <w:rFonts w:hint="eastAsia" w:ascii="黑体" w:eastAsia="黑体"/>
          <w:b/>
          <w:sz w:val="32"/>
          <w:szCs w:val="32"/>
        </w:rPr>
      </w:pPr>
    </w:p>
    <w:p>
      <w:pPr>
        <w:ind w:left="218" w:leftChars="0" w:hanging="218" w:hangingChars="68"/>
        <w:rPr>
          <w:rFonts w:hint="eastAsia" w:ascii="黑体" w:eastAsia="黑体"/>
          <w:b/>
          <w:sz w:val="32"/>
          <w:szCs w:val="32"/>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4"/>
        <w:gridCol w:w="3116"/>
        <w:gridCol w:w="1726"/>
        <w:gridCol w:w="1727"/>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5"/>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6" w:name="_Toc30282"/>
            <w:r>
              <w:rPr>
                <w:rFonts w:hint="eastAsia" w:ascii="黑体" w:hAnsi="黑体" w:eastAsia="黑体" w:cs="黑体"/>
                <w:b w:val="0"/>
                <w:bCs/>
                <w:lang w:val="en-US" w:eastAsia="zh-CN"/>
              </w:rPr>
              <w:t>2022年预算支出总表</w:t>
            </w:r>
            <w:bookmarkEnd w:id="6"/>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8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75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[2040202]一般行政管理事务</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r>
    </w:tbl>
    <w:p>
      <w:pPr>
        <w:ind w:left="218" w:leftChars="0" w:hanging="218" w:hangingChars="68"/>
        <w:rPr>
          <w:rFonts w:hint="eastAsia" w:ascii="黑体" w:eastAsia="黑体"/>
          <w:b/>
          <w:sz w:val="32"/>
          <w:szCs w:val="32"/>
        </w:rPr>
        <w:sectPr>
          <w:footerReference r:id="rId4" w:type="default"/>
          <w:pgSz w:w="11906" w:h="16838"/>
          <w:pgMar w:top="1134" w:right="1080" w:bottom="1440" w:left="1080" w:header="851" w:footer="992" w:gutter="0"/>
          <w:pgNumType w:fmt="decimal" w:start="1"/>
          <w:cols w:space="0" w:num="1"/>
          <w:rtlGutter w:val="0"/>
          <w:docGrid w:type="lines" w:linePitch="312" w:charSpace="0"/>
        </w:sect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57"/>
        <w:gridCol w:w="1349"/>
        <w:gridCol w:w="1860"/>
        <w:gridCol w:w="1395"/>
        <w:gridCol w:w="1305"/>
        <w:gridCol w:w="975"/>
        <w:gridCol w:w="13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5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89" w:type="pct"/>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7"/>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7" w:name="_Toc16811"/>
            <w:r>
              <w:rPr>
                <w:rFonts w:hint="eastAsia" w:ascii="黑体" w:hAnsi="黑体" w:eastAsia="黑体" w:cs="黑体"/>
                <w:b w:val="0"/>
                <w:bCs/>
                <w:lang w:val="en-US" w:eastAsia="zh-CN"/>
              </w:rPr>
              <w:t>2022年财政拨款收支总表</w:t>
            </w:r>
            <w:bookmarkEnd w:id="7"/>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 w:hRule="atLeast"/>
        </w:trPr>
        <w:tc>
          <w:tcPr>
            <w:tcW w:w="88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5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89" w:type="pct"/>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15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344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6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9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50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w:t>
            </w: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w:t>
            </w: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7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6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16"/>
        <w:gridCol w:w="2930"/>
        <w:gridCol w:w="1273"/>
        <w:gridCol w:w="1273"/>
        <w:gridCol w:w="1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3" w:hRule="atLeast"/>
        </w:trPr>
        <w:tc>
          <w:tcPr>
            <w:tcW w:w="133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p>
            <w:pPr>
              <w:jc w:val="center"/>
              <w:rPr>
                <w:rFonts w:hint="eastAsia" w:ascii="宋体" w:hAnsi="宋体" w:eastAsia="宋体" w:cs="宋体"/>
                <w:i w:val="0"/>
                <w:iCs w:val="0"/>
                <w:color w:val="000000"/>
                <w:sz w:val="20"/>
                <w:szCs w:val="20"/>
                <w:u w:val="none"/>
              </w:rPr>
            </w:pPr>
          </w:p>
          <w:p>
            <w:pPr>
              <w:jc w:val="center"/>
              <w:rPr>
                <w:rFonts w:hint="eastAsia" w:ascii="宋体" w:hAnsi="宋体" w:eastAsia="宋体" w:cs="宋体"/>
                <w:i w:val="0"/>
                <w:iCs w:val="0"/>
                <w:color w:val="000000"/>
                <w:sz w:val="20"/>
                <w:szCs w:val="20"/>
                <w:u w:val="none"/>
              </w:rPr>
            </w:pPr>
          </w:p>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p>
          <w:p>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p>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5"/>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8" w:name="_Toc13133"/>
            <w:r>
              <w:rPr>
                <w:rFonts w:hint="eastAsia" w:ascii="黑体" w:hAnsi="黑体" w:eastAsia="黑体" w:cs="黑体"/>
                <w:b w:val="0"/>
                <w:bCs/>
                <w:lang w:val="en-US" w:eastAsia="zh-CN"/>
              </w:rPr>
              <w:t>2022年一般公共预算支出预算表</w:t>
            </w:r>
            <w:bookmarkEnd w:id="8"/>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3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部门:[047006]大同市第二看守所</w:t>
            </w:r>
          </w:p>
        </w:tc>
        <w:tc>
          <w:tcPr>
            <w:tcW w:w="15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12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[2040202]一般行政管理事务</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206.100000</w:t>
            </w:r>
          </w:p>
        </w:tc>
      </w:tr>
    </w:tbl>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92"/>
        <w:gridCol w:w="3108"/>
        <w:gridCol w:w="30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9" w:name="_Toc12745"/>
            <w:r>
              <w:rPr>
                <w:rFonts w:hint="eastAsia" w:ascii="黑体" w:hAnsi="黑体" w:eastAsia="黑体" w:cs="黑体"/>
                <w:b w:val="0"/>
                <w:bCs/>
                <w:lang w:val="en-US" w:eastAsia="zh-CN"/>
              </w:rPr>
              <w:t>2022年一般公共预算安排基本支出分经济科目表</w:t>
            </w:r>
            <w:bookmarkEnd w:id="9"/>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0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经济科目名称</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8"/>
        <w:gridCol w:w="4145"/>
        <w:gridCol w:w="32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8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649"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0" w:name="_Toc4120"/>
            <w:r>
              <w:rPr>
                <w:rFonts w:hint="eastAsia" w:ascii="黑体" w:hAnsi="黑体" w:eastAsia="黑体" w:cs="黑体"/>
                <w:b w:val="0"/>
                <w:bCs/>
                <w:lang w:val="en-US" w:eastAsia="zh-CN"/>
              </w:rPr>
              <w:t>2022年政府性基金预算收入表</w:t>
            </w:r>
            <w:bookmarkEnd w:id="1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8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649"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5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0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0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9"/>
        <w:gridCol w:w="4804"/>
        <w:gridCol w:w="30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54" w:type="pct"/>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41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1" w:name="_Toc11282"/>
            <w:r>
              <w:rPr>
                <w:rFonts w:hint="eastAsia" w:ascii="黑体" w:hAnsi="黑体" w:eastAsia="黑体" w:cs="黑体"/>
                <w:b w:val="0"/>
                <w:bCs/>
                <w:lang w:val="en-US" w:eastAsia="zh-CN"/>
              </w:rPr>
              <w:t>2022年政府性基金预算支出表</w:t>
            </w:r>
            <w:bookmarkEnd w:id="1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5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1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5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5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1749"/>
        <w:gridCol w:w="1282"/>
        <w:gridCol w:w="1053"/>
        <w:gridCol w:w="1596"/>
        <w:gridCol w:w="1086"/>
        <w:gridCol w:w="1086"/>
        <w:gridCol w:w="10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3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0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5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00"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8"/>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2" w:name="_Toc9955"/>
            <w:r>
              <w:rPr>
                <w:rFonts w:hint="eastAsia" w:ascii="黑体" w:hAnsi="黑体" w:eastAsia="黑体" w:cs="黑体"/>
                <w:b w:val="0"/>
                <w:bCs/>
                <w:lang w:val="en-US" w:eastAsia="zh-CN"/>
              </w:rPr>
              <w:t>2022年国有资本经营预算收支预算表</w:t>
            </w:r>
            <w:bookmarkEnd w:id="1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3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0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5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00"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0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国有资本经营预算收入</w:t>
            </w:r>
          </w:p>
        </w:tc>
        <w:tc>
          <w:tcPr>
            <w:tcW w:w="299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3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6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国有资本经营收入预算</w:t>
            </w:r>
          </w:p>
        </w:tc>
        <w:tc>
          <w:tcPr>
            <w:tcW w:w="5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80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8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6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49"/>
        <w:gridCol w:w="52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8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1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2"/>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3" w:name="_Toc12261"/>
            <w:r>
              <w:rPr>
                <w:rFonts w:hint="eastAsia" w:ascii="黑体" w:hAnsi="黑体" w:eastAsia="黑体" w:cs="黑体"/>
                <w:b w:val="0"/>
                <w:bCs/>
                <w:lang w:val="en-US" w:eastAsia="zh-CN"/>
              </w:rPr>
              <w:t>2022年一般公共预算“三公”经费支出情况统计表</w:t>
            </w:r>
            <w:bookmarkEnd w:id="13"/>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8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1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①公务用车购置费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②公务用车运行维护费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rPr>
          <w:rFonts w:hint="eastAsia" w:ascii="黑体" w:eastAsia="黑体"/>
          <w:b/>
          <w:sz w:val="32"/>
          <w:szCs w:val="32"/>
          <w:lang w:eastAsia="zh-CN"/>
        </w:rPr>
      </w:pPr>
    </w:p>
    <w:p>
      <w:pPr>
        <w:rPr>
          <w:rFonts w:hint="eastAsia" w:ascii="黑体" w:eastAsia="黑体"/>
          <w:b/>
          <w:sz w:val="32"/>
          <w:szCs w:val="32"/>
          <w:lang w:eastAsia="zh-CN"/>
        </w:rPr>
      </w:pPr>
    </w:p>
    <w:p>
      <w:pPr>
        <w:rPr>
          <w:rFonts w:hint="eastAsia" w:ascii="黑体" w:eastAsia="黑体"/>
          <w:b/>
          <w:sz w:val="32"/>
          <w:szCs w:val="32"/>
          <w:lang w:eastAsia="zh-CN"/>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95"/>
        <w:gridCol w:w="4089"/>
        <w:gridCol w:w="38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2" w:type="pct"/>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0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4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4" w:name="_Toc14186"/>
            <w:r>
              <w:rPr>
                <w:rFonts w:hint="eastAsia" w:ascii="黑体" w:hAnsi="黑体" w:eastAsia="黑体" w:cs="黑体"/>
                <w:b w:val="0"/>
                <w:bCs/>
                <w:lang w:val="en-US" w:eastAsia="zh-CN"/>
              </w:rPr>
              <w:t>2022年机关运行经费预算财政拨款情况统计表</w:t>
            </w:r>
            <w:bookmarkEnd w:id="1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2" w:type="pct"/>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20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4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单位编码</w:t>
            </w: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w:t>
            </w: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黑体" w:eastAsia="黑体"/>
          <w:b/>
          <w:sz w:val="32"/>
          <w:szCs w:val="32"/>
          <w:lang w:eastAsia="zh-CN"/>
        </w:rPr>
      </w:pPr>
    </w:p>
    <w:p>
      <w:pPr>
        <w:pStyle w:val="2"/>
        <w:bidi w:val="0"/>
        <w:jc w:val="center"/>
        <w:outlineLvl w:val="9"/>
        <w:rPr>
          <w:rFonts w:hint="eastAsia" w:ascii="宋体" w:hAnsi="宋体" w:eastAsia="宋体" w:cs="宋体"/>
          <w:sz w:val="36"/>
          <w:szCs w:val="36"/>
          <w:lang w:val="en-US" w:eastAsia="zh-CN"/>
        </w:rPr>
      </w:pPr>
    </w:p>
    <w:p>
      <w:pPr>
        <w:pStyle w:val="2"/>
        <w:bidi w:val="0"/>
        <w:jc w:val="both"/>
        <w:outlineLvl w:val="9"/>
        <w:rPr>
          <w:rFonts w:hint="eastAsia" w:ascii="宋体" w:hAnsi="宋体" w:eastAsia="宋体" w:cs="宋体"/>
          <w:sz w:val="36"/>
          <w:szCs w:val="36"/>
          <w:lang w:val="en-US" w:eastAsia="zh-CN"/>
        </w:rPr>
      </w:pPr>
    </w:p>
    <w:p>
      <w:pPr>
        <w:rPr>
          <w:rFonts w:hint="eastAsia"/>
          <w:lang w:val="en-US" w:eastAsia="zh-CN"/>
        </w:rPr>
      </w:pPr>
    </w:p>
    <w:p>
      <w:pPr>
        <w:pStyle w:val="2"/>
        <w:bidi w:val="0"/>
        <w:jc w:val="center"/>
        <w:rPr>
          <w:rFonts w:hint="eastAsia" w:ascii="黑体" w:hAnsi="Times New Roman" w:eastAsia="黑体" w:cs="Times New Roman"/>
          <w:b w:val="0"/>
          <w:bCs/>
          <w:kern w:val="2"/>
          <w:sz w:val="32"/>
          <w:szCs w:val="32"/>
          <w:lang w:val="en-US" w:eastAsia="zh-CN" w:bidi="ar-SA"/>
        </w:rPr>
      </w:pPr>
      <w:bookmarkStart w:id="15" w:name="_Toc19563"/>
      <w:r>
        <w:rPr>
          <w:rFonts w:hint="eastAsia" w:ascii="宋体" w:hAnsi="宋体" w:eastAsia="宋体" w:cs="宋体"/>
          <w:sz w:val="36"/>
          <w:szCs w:val="36"/>
          <w:lang w:val="en-US" w:eastAsia="zh-CN"/>
        </w:rPr>
        <w:t>第三部分  2022年度单位预算情况说明</w:t>
      </w:r>
      <w:bookmarkEnd w:id="15"/>
    </w:p>
    <w:p>
      <w:pPr>
        <w:pStyle w:val="3"/>
        <w:keepNext/>
        <w:keepLines/>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eastAsia"/>
          <w:b w:val="0"/>
          <w:bCs/>
          <w:lang w:val="en-US" w:eastAsia="zh-CN"/>
        </w:rPr>
      </w:pPr>
      <w:bookmarkStart w:id="16" w:name="_Toc4395"/>
      <w:r>
        <w:rPr>
          <w:rFonts w:hint="eastAsia"/>
          <w:b w:val="0"/>
          <w:bCs/>
          <w:lang w:val="en-US" w:eastAsia="zh-CN"/>
        </w:rPr>
        <w:t>一、部门预算收支情况说明</w:t>
      </w:r>
      <w:bookmarkEnd w:id="16"/>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202</w:t>
      </w:r>
      <w:r>
        <w:rPr>
          <w:rFonts w:hint="eastAsia" w:ascii="仿宋_GB2312" w:eastAsia="仿宋_GB2312"/>
          <w:sz w:val="32"/>
          <w:szCs w:val="32"/>
          <w:lang w:val="en-US" w:eastAsia="zh-CN"/>
        </w:rPr>
        <w:t>2</w:t>
      </w:r>
      <w:r>
        <w:rPr>
          <w:rFonts w:hint="default" w:ascii="仿宋_GB2312" w:eastAsia="仿宋_GB2312"/>
          <w:sz w:val="32"/>
          <w:szCs w:val="32"/>
          <w:lang w:val="en-US" w:eastAsia="zh-CN"/>
        </w:rPr>
        <w:t>年度预算收入206.10万元，主要包括一般公共预算拨款收入206.10万元， 占100.00%；政府性基金预算拨款收入0.00万元，占0.00%；国有资本经营预算拨款 收入0.00万元，占0.00%；财政专户管理资金收入0.00万元，占0.00%；单位资金 0.00万元，占0.00%；上年结转0.00万元，占0.00%。202</w:t>
      </w:r>
      <w:r>
        <w:rPr>
          <w:rFonts w:hint="eastAsia" w:ascii="仿宋_GB2312" w:eastAsia="仿宋_GB2312"/>
          <w:sz w:val="32"/>
          <w:szCs w:val="32"/>
          <w:lang w:val="en-US" w:eastAsia="zh-CN"/>
        </w:rPr>
        <w:t>2</w:t>
      </w:r>
      <w:r>
        <w:rPr>
          <w:rFonts w:hint="default" w:ascii="仿宋_GB2312" w:eastAsia="仿宋_GB2312"/>
          <w:sz w:val="32"/>
          <w:szCs w:val="32"/>
          <w:lang w:val="en-US" w:eastAsia="zh-CN"/>
        </w:rPr>
        <w:t>年度支出预算206.1万元，其中：基本支出0万元，占0.00%；项目支出206.1万元，</w:t>
      </w:r>
      <w:r>
        <w:rPr>
          <w:rFonts w:hint="eastAsia" w:ascii="仿宋_GB2312" w:eastAsia="仿宋_GB2312"/>
          <w:sz w:val="32"/>
          <w:szCs w:val="32"/>
          <w:lang w:val="en-US" w:eastAsia="zh-CN"/>
        </w:rPr>
        <w:t>为</w:t>
      </w:r>
      <w:r>
        <w:rPr>
          <w:rFonts w:hint="default" w:ascii="仿宋_GB2312" w:eastAsia="仿宋_GB2312"/>
          <w:sz w:val="32"/>
          <w:szCs w:val="32"/>
          <w:lang w:val="en-US" w:eastAsia="zh-CN"/>
        </w:rPr>
        <w:t>人犯经费（伙食费）173.4 万元，人犯经费（公杂费）32.7万元</w:t>
      </w:r>
      <w:r>
        <w:rPr>
          <w:rFonts w:hint="eastAsia" w:ascii="仿宋_GB2312" w:eastAsia="仿宋_GB2312"/>
          <w:sz w:val="32"/>
          <w:szCs w:val="32"/>
          <w:lang w:val="en-US" w:eastAsia="zh-CN"/>
        </w:rPr>
        <w:t>，</w:t>
      </w:r>
      <w:r>
        <w:rPr>
          <w:rFonts w:hint="default" w:ascii="仿宋_GB2312" w:eastAsia="仿宋_GB2312"/>
          <w:sz w:val="32"/>
          <w:szCs w:val="32"/>
          <w:lang w:val="en-US" w:eastAsia="zh-CN"/>
        </w:rPr>
        <w:t>占100.00%。</w:t>
      </w:r>
    </w:p>
    <w:p>
      <w:pPr>
        <w:pStyle w:val="3"/>
        <w:keepNext/>
        <w:keepLines/>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eastAsia"/>
          <w:b w:val="0"/>
          <w:bCs/>
          <w:lang w:val="en-US" w:eastAsia="zh-CN"/>
        </w:rPr>
      </w:pPr>
      <w:bookmarkStart w:id="17" w:name="_Toc25682"/>
      <w:r>
        <w:rPr>
          <w:rFonts w:hint="eastAsia"/>
          <w:b w:val="0"/>
          <w:bCs/>
          <w:lang w:val="en-US" w:eastAsia="zh-CN"/>
        </w:rPr>
        <w:t>二、机关运行经费安排情况</w:t>
      </w:r>
      <w:bookmarkEnd w:id="17"/>
    </w:p>
    <w:p>
      <w:pPr>
        <w:ind w:firstLine="640" w:firstLineChars="2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大同市第二看守所</w:t>
      </w:r>
      <w:r>
        <w:rPr>
          <w:rFonts w:hint="eastAsia" w:ascii="仿宋_GB2312" w:eastAsia="仿宋_GB2312"/>
          <w:sz w:val="32"/>
          <w:szCs w:val="32"/>
        </w:rPr>
        <w:t>机关</w:t>
      </w:r>
      <w:r>
        <w:rPr>
          <w:rFonts w:hint="eastAsia" w:ascii="仿宋_GB2312" w:eastAsia="仿宋_GB2312"/>
          <w:sz w:val="32"/>
          <w:szCs w:val="32"/>
          <w:lang w:val="en-US" w:eastAsia="zh-CN"/>
        </w:rPr>
        <w:t>运行经费已包含在市公安局本级机关中，</w:t>
      </w:r>
      <w:r>
        <w:rPr>
          <w:rFonts w:hint="eastAsia" w:ascii="仿宋_GB2312" w:eastAsia="仿宋_GB2312"/>
          <w:sz w:val="32"/>
          <w:szCs w:val="32"/>
        </w:rPr>
        <w:t>机关运行经费按新的工资标准和新的公用经费定额标准核定。</w:t>
      </w:r>
    </w:p>
    <w:p>
      <w:pPr>
        <w:pStyle w:val="3"/>
        <w:keepNext/>
        <w:keepLines/>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eastAsia"/>
          <w:b w:val="0"/>
          <w:bCs/>
          <w:lang w:val="en-US" w:eastAsia="zh-CN"/>
        </w:rPr>
      </w:pPr>
      <w:bookmarkStart w:id="18" w:name="_Toc16538"/>
      <w:r>
        <w:rPr>
          <w:rFonts w:hint="eastAsia"/>
          <w:b w:val="0"/>
          <w:bCs/>
          <w:lang w:val="en-US" w:eastAsia="zh-CN"/>
        </w:rPr>
        <w:t>三、国有资产占有情况</w:t>
      </w:r>
      <w:bookmarkEnd w:id="18"/>
    </w:p>
    <w:p>
      <w:pPr>
        <w:ind w:firstLine="640" w:firstLineChars="2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大同市第二看守所无国有资产占有情况</w:t>
      </w:r>
      <w:r>
        <w:rPr>
          <w:rFonts w:hint="eastAsia" w:ascii="仿宋_GB2312" w:eastAsia="仿宋_GB2312"/>
          <w:sz w:val="32"/>
          <w:szCs w:val="32"/>
        </w:rPr>
        <w:t>。</w:t>
      </w:r>
    </w:p>
    <w:p>
      <w:pPr>
        <w:pStyle w:val="3"/>
        <w:keepNext/>
        <w:keepLines/>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eastAsia"/>
          <w:b w:val="0"/>
          <w:bCs/>
          <w:lang w:val="en-US" w:eastAsia="zh-CN"/>
        </w:rPr>
      </w:pPr>
      <w:bookmarkStart w:id="19" w:name="_Toc15544"/>
      <w:r>
        <w:rPr>
          <w:rFonts w:hint="eastAsia"/>
          <w:b w:val="0"/>
          <w:bCs/>
          <w:lang w:val="en-US" w:eastAsia="zh-CN"/>
        </w:rPr>
        <w:t>四、重点项目预算绩效目标等预算绩效情况说明</w:t>
      </w:r>
      <w:bookmarkEnd w:id="19"/>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202</w:t>
      </w:r>
      <w:r>
        <w:rPr>
          <w:rFonts w:hint="eastAsia" w:ascii="仿宋_GB2312" w:eastAsia="仿宋_GB2312"/>
          <w:sz w:val="32"/>
          <w:szCs w:val="32"/>
          <w:lang w:val="en-US" w:eastAsia="zh-CN"/>
        </w:rPr>
        <w:t>2</w:t>
      </w:r>
      <w:r>
        <w:rPr>
          <w:rFonts w:hint="default" w:ascii="仿宋_GB2312" w:eastAsia="仿宋_GB2312"/>
          <w:sz w:val="32"/>
          <w:szCs w:val="32"/>
          <w:lang w:val="en-US" w:eastAsia="zh-CN"/>
        </w:rPr>
        <w:t>年大同市第二看守所单位实行绩效目标管理的项目2个，</w:t>
      </w:r>
      <w:r>
        <w:rPr>
          <w:rFonts w:hint="eastAsia" w:ascii="仿宋_GB2312" w:eastAsia="仿宋_GB2312"/>
          <w:sz w:val="32"/>
          <w:szCs w:val="32"/>
          <w:lang w:val="en-US" w:eastAsia="zh-CN"/>
        </w:rPr>
        <w:t>涉及一般公共预算 ，</w:t>
      </w:r>
      <w:r>
        <w:rPr>
          <w:rFonts w:hint="default" w:ascii="仿宋_GB2312" w:eastAsia="仿宋_GB2312"/>
          <w:sz w:val="32"/>
          <w:szCs w:val="32"/>
          <w:lang w:val="en-US" w:eastAsia="zh-CN"/>
        </w:rPr>
        <w:t>项目预算206.1万元</w:t>
      </w:r>
      <w:r>
        <w:rPr>
          <w:rFonts w:hint="eastAsia" w:ascii="仿宋_GB2312" w:eastAsia="仿宋_GB2312"/>
          <w:sz w:val="32"/>
          <w:szCs w:val="32"/>
          <w:lang w:val="en-US" w:eastAsia="zh-CN"/>
        </w:rPr>
        <w:t>，财政</w:t>
      </w:r>
      <w:r>
        <w:rPr>
          <w:rFonts w:hint="default" w:ascii="仿宋_GB2312" w:eastAsia="仿宋_GB2312"/>
          <w:sz w:val="32"/>
          <w:szCs w:val="32"/>
          <w:lang w:val="en-US" w:eastAsia="zh-CN"/>
        </w:rPr>
        <w:t>拨款206.1万元</w:t>
      </w:r>
      <w:r>
        <w:rPr>
          <w:rFonts w:hint="eastAsia" w:ascii="仿宋_GB2312" w:eastAsia="仿宋_GB2312"/>
          <w:sz w:val="32"/>
          <w:szCs w:val="32"/>
          <w:lang w:val="en-US" w:eastAsia="zh-CN"/>
        </w:rPr>
        <w:t>，</w:t>
      </w:r>
      <w:r>
        <w:rPr>
          <w:rFonts w:hint="default" w:ascii="仿宋_GB2312" w:eastAsia="仿宋_GB2312"/>
          <w:sz w:val="32"/>
          <w:szCs w:val="32"/>
          <w:lang w:val="en-US" w:eastAsia="zh-CN"/>
        </w:rPr>
        <w:t>其中人犯经费（伙食费）173.4 万元，人犯经费（公杂费）32.7万元。项目经费将按合同和实际建设情况支付。项目建设对管理犯人和提高监管场所日常运行发挥积极作用，为维护社会稳定提供了强力支撑。</w:t>
      </w:r>
    </w:p>
    <w:p>
      <w:pPr>
        <w:ind w:firstLine="640" w:firstLineChars="200"/>
        <w:rPr>
          <w:rFonts w:hint="default" w:ascii="仿宋_GB2312" w:eastAsia="仿宋_GB2312"/>
          <w:sz w:val="32"/>
          <w:szCs w:val="32"/>
          <w:lang w:val="en-US" w:eastAsia="zh-CN"/>
        </w:r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1"/>
        <w:gridCol w:w="810"/>
        <w:gridCol w:w="1286"/>
        <w:gridCol w:w="1406"/>
        <w:gridCol w:w="1233"/>
        <w:gridCol w:w="437"/>
        <w:gridCol w:w="1287"/>
        <w:gridCol w:w="1406"/>
        <w:gridCol w:w="14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32"/>
                <w:szCs w:val="32"/>
                <w:u w:val="none"/>
                <w:lang w:val="en-US" w:eastAsia="zh-CN" w:bidi="ar"/>
              </w:rPr>
              <w:t>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2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38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71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44" w:type="pct"/>
            <w:gridSpan w:val="2"/>
            <w:tcBorders>
              <w:top w:val="nil"/>
              <w:left w:val="nil"/>
              <w:bottom w:val="nil"/>
              <w:right w:val="nil"/>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4"/>
                <w:szCs w:val="24"/>
                <w:u w:val="none"/>
                <w:lang w:val="en-US" w:eastAsia="zh-CN" w:bidi="ar"/>
              </w:rPr>
              <w:t>（2022年度）</w:t>
            </w:r>
          </w:p>
        </w:tc>
        <w:tc>
          <w:tcPr>
            <w:tcW w:w="648"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71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71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363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Z人犯经费(公杂费等)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主管部门及代码</w:t>
            </w:r>
          </w:p>
        </w:tc>
        <w:tc>
          <w:tcPr>
            <w:tcW w:w="13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047-大同市公安局[部门]</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4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大同市第二看守所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13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经常性项目（长期开展）</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项目期</w:t>
            </w:r>
          </w:p>
        </w:tc>
        <w:tc>
          <w:tcPr>
            <w:tcW w:w="14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6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实施期资金总额：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981,075</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14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327,025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14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省级财政资金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省级财政资金</w:t>
            </w:r>
          </w:p>
        </w:tc>
        <w:tc>
          <w:tcPr>
            <w:tcW w:w="14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3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市县（区）财政资金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981,075</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市县（区）财政资金</w:t>
            </w:r>
          </w:p>
        </w:tc>
        <w:tc>
          <w:tcPr>
            <w:tcW w:w="14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327,025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单位自筹</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单位自筹</w:t>
            </w:r>
          </w:p>
        </w:tc>
        <w:tc>
          <w:tcPr>
            <w:tcW w:w="14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6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14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项目概况</w:t>
            </w:r>
          </w:p>
        </w:tc>
        <w:tc>
          <w:tcPr>
            <w:tcW w:w="363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主要用于管理看守所在押人员的基本费用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立项依据</w:t>
            </w:r>
          </w:p>
        </w:tc>
        <w:tc>
          <w:tcPr>
            <w:tcW w:w="363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《看守所经费开支范围和管理办法的规定》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1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项目设立必要性</w:t>
            </w:r>
          </w:p>
        </w:tc>
        <w:tc>
          <w:tcPr>
            <w:tcW w:w="363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加强人犯管理有利于看守所工作高效率运转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1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保证项目实施的制度、措施</w:t>
            </w:r>
          </w:p>
        </w:tc>
        <w:tc>
          <w:tcPr>
            <w:tcW w:w="363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根据公安部监管局《关于印发&lt;关于进一步加强看守所安全工作的指导意见&gt;的通知》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项目实施计划</w:t>
            </w:r>
          </w:p>
        </w:tc>
        <w:tc>
          <w:tcPr>
            <w:tcW w:w="363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9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实施期目标</w:t>
            </w:r>
          </w:p>
        </w:tc>
        <w:tc>
          <w:tcPr>
            <w:tcW w:w="20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总体目标</w:t>
            </w:r>
          </w:p>
        </w:tc>
        <w:tc>
          <w:tcPr>
            <w:tcW w:w="2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提高监所管理工作水平，加强社会治安综合治理</w:t>
            </w:r>
          </w:p>
        </w:tc>
        <w:tc>
          <w:tcPr>
            <w:tcW w:w="20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3" w:type="pct"/>
            <w:vMerge w:val="restart"/>
            <w:tcBorders>
              <w:top w:val="single" w:color="000000" w:sz="4" w:space="0"/>
              <w:left w:val="single" w:color="000000" w:sz="4" w:space="0"/>
              <w:bottom w:val="nil"/>
              <w:right w:val="single" w:color="000000" w:sz="4" w:space="0"/>
            </w:tcBorders>
            <w:shd w:val="clear" w:color="auto" w:fill="auto"/>
            <w:textDirection w:val="tbRlV"/>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产出指标</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羁押人员日均羁押人数</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≤588人数</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羁押人员日均羁押人数</w:t>
            </w:r>
          </w:p>
        </w:tc>
        <w:tc>
          <w:tcPr>
            <w:tcW w:w="7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≤588人数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羁押人员管理水平</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满足正常拘押管理需求</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羁押人员管理水平</w:t>
            </w:r>
          </w:p>
        </w:tc>
        <w:tc>
          <w:tcPr>
            <w:tcW w:w="7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满足正常拘押管理需求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经费支出时效性</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按照人犯管理情况及时支出</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经费支出时效性</w:t>
            </w:r>
          </w:p>
        </w:tc>
        <w:tc>
          <w:tcPr>
            <w:tcW w:w="71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按照人犯管理情况及时支出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项目总成本</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≤1120140元</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项目总成本</w:t>
            </w:r>
          </w:p>
        </w:tc>
        <w:tc>
          <w:tcPr>
            <w:tcW w:w="7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≤1120140元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效益指标</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保障社会和谐稳定</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保障社会和谐稳定</w:t>
            </w:r>
          </w:p>
        </w:tc>
        <w:tc>
          <w:tcPr>
            <w:tcW w:w="7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2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2"/>
                <w:szCs w:val="22"/>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满意度指标</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人犯满意度</w:t>
            </w: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≥80百分比</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7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人犯满意度</w:t>
            </w:r>
          </w:p>
        </w:tc>
        <w:tc>
          <w:tcPr>
            <w:tcW w:w="7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≥80百分比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负责人：</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经办人：</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联系电话：</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填报日期：    </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20221230112445</w:t>
            </w:r>
          </w:p>
        </w:tc>
      </w:tr>
    </w:tbl>
    <w:tbl>
      <w:tblPr>
        <w:tblStyle w:val="9"/>
        <w:tblpPr w:leftFromText="180" w:rightFromText="180" w:vertAnchor="text" w:horzAnchor="page" w:tblpX="1337" w:tblpY="1426"/>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9"/>
        <w:gridCol w:w="795"/>
        <w:gridCol w:w="1257"/>
        <w:gridCol w:w="1373"/>
        <w:gridCol w:w="1307"/>
        <w:gridCol w:w="316"/>
        <w:gridCol w:w="1257"/>
        <w:gridCol w:w="1373"/>
        <w:gridCol w:w="16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2"/>
                <w:szCs w:val="32"/>
                <w:u w:val="none"/>
                <w:lang w:val="en-US" w:eastAsia="zh-CN" w:bidi="ar"/>
              </w:rPr>
              <w:t>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4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3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63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68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814" w:type="pct"/>
            <w:gridSpan w:val="2"/>
            <w:tcBorders>
              <w:top w:val="nil"/>
              <w:left w:val="nil"/>
              <w:bottom w:val="nil"/>
              <w:right w:val="nil"/>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（2022年度）</w:t>
            </w:r>
          </w:p>
        </w:tc>
        <w:tc>
          <w:tcPr>
            <w:tcW w:w="630"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68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80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362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Z人犯经费(伙食费等)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主管部门及代码</w:t>
            </w:r>
          </w:p>
        </w:tc>
        <w:tc>
          <w:tcPr>
            <w:tcW w:w="13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047-大同市公安局[部门]</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4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大同市第二看守所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13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经常性项目（长期开展）</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项目期</w:t>
            </w:r>
          </w:p>
        </w:tc>
        <w:tc>
          <w:tcPr>
            <w:tcW w:w="14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7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实施期资金总额：</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5,201,925</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4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1,733,975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7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其中：中央财政资金</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其中：中央财政资金</w:t>
            </w:r>
          </w:p>
        </w:tc>
        <w:tc>
          <w:tcPr>
            <w:tcW w:w="14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7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省级财政资金</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省级财政资金</w:t>
            </w:r>
          </w:p>
        </w:tc>
        <w:tc>
          <w:tcPr>
            <w:tcW w:w="14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7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市县（区）财政资金</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5,201,925</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市县（区）财政资金</w:t>
            </w:r>
          </w:p>
        </w:tc>
        <w:tc>
          <w:tcPr>
            <w:tcW w:w="14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1,733,975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7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单位自筹</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单位自筹</w:t>
            </w:r>
          </w:p>
        </w:tc>
        <w:tc>
          <w:tcPr>
            <w:tcW w:w="14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7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其他资金</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其他资金</w:t>
            </w:r>
          </w:p>
        </w:tc>
        <w:tc>
          <w:tcPr>
            <w:tcW w:w="14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3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项目概况</w:t>
            </w:r>
          </w:p>
        </w:tc>
        <w:tc>
          <w:tcPr>
            <w:tcW w:w="362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主要用于管理看守所在押人员的基本费用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3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立项依据</w:t>
            </w:r>
          </w:p>
        </w:tc>
        <w:tc>
          <w:tcPr>
            <w:tcW w:w="362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《看守所经费开支范围和管理办法的规定》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13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项目设立必要性</w:t>
            </w:r>
          </w:p>
        </w:tc>
        <w:tc>
          <w:tcPr>
            <w:tcW w:w="362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加强人犯管理有利于看守所工作高效率运转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3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保证项目实施的制度、措施</w:t>
            </w:r>
          </w:p>
        </w:tc>
        <w:tc>
          <w:tcPr>
            <w:tcW w:w="362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根据公安部监管局《关于印发&lt;关于进一步加强看守所安全工作的指导意见&gt;的通知》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3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项目实施计划</w:t>
            </w:r>
          </w:p>
        </w:tc>
        <w:tc>
          <w:tcPr>
            <w:tcW w:w="362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87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实施期目标</w:t>
            </w:r>
          </w:p>
        </w:tc>
        <w:tc>
          <w:tcPr>
            <w:tcW w:w="2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9"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w:t>
            </w:r>
          </w:p>
        </w:tc>
        <w:tc>
          <w:tcPr>
            <w:tcW w:w="25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c>
          <w:tcPr>
            <w:tcW w:w="212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340" w:type="pct"/>
            <w:vMerge w:val="restart"/>
            <w:tcBorders>
              <w:top w:val="single" w:color="000000" w:sz="4" w:space="0"/>
              <w:left w:val="single" w:color="000000" w:sz="4" w:space="0"/>
              <w:bottom w:val="nil"/>
              <w:right w:val="single" w:color="000000" w:sz="4" w:space="0"/>
            </w:tcBorders>
            <w:shd w:val="clear" w:color="auto" w:fill="auto"/>
            <w:textDirection w:val="tbRlV"/>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产出指标</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数量指标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羁押人员日均羁押人数</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≤588人数</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数量指标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羁押人员日均羁押人数</w:t>
            </w: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≤588人数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质量指标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羁押人员管理水平</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满足正常拘押管理需求</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质量指标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羁押人员管理水平</w:t>
            </w: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满足正常拘押管理需求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时效指标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经费支出时效性</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按照人犯管理情况及时支出</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时效指标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经费支出时效性</w:t>
            </w: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按照人犯管理情况及时支出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成本指标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补助费用成本</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≤1975680元</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成本指标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补助费用成本</w:t>
            </w: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≤1975680元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效益指标</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经济效益指标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经济效益指标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社会效益指标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保障社会和谐稳定</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保障</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社会效益指标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保障社会和谐稳定</w:t>
            </w: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生态效益指标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生态效益指标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可持续影响指标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可持续影响指标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4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满意度指标</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服务对象满意度指标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人犯满意度</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≥80百分比</w:t>
            </w:r>
          </w:p>
        </w:tc>
        <w:tc>
          <w:tcPr>
            <w:tcW w:w="6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服务对象满意度指标</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人犯满意度</w:t>
            </w:r>
          </w:p>
        </w:tc>
        <w:tc>
          <w:tcPr>
            <w:tcW w:w="80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0"/>
                <w:szCs w:val="20"/>
                <w:u w:val="none"/>
              </w:rPr>
            </w:pPr>
            <w:r>
              <w:rPr>
                <w:rFonts w:hint="eastAsia" w:ascii="宋体" w:hAnsi="宋体" w:eastAsia="宋体" w:cs="宋体"/>
                <w:i w:val="0"/>
                <w:iCs w:val="0"/>
                <w:color w:val="333333"/>
                <w:kern w:val="0"/>
                <w:sz w:val="20"/>
                <w:szCs w:val="20"/>
                <w:u w:val="none"/>
                <w:lang w:val="en-US" w:eastAsia="zh-CN" w:bidi="ar"/>
              </w:rPr>
              <w:t>≥80百分比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负责人：</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经办人：</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填报日期：    </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20221230112403</w:t>
            </w:r>
          </w:p>
        </w:tc>
      </w:tr>
    </w:tbl>
    <w:p>
      <w:pPr>
        <w:rPr>
          <w:rFonts w:hint="eastAsia" w:ascii="仿宋_GB2312" w:eastAsia="仿宋_GB2312"/>
          <w:color w:val="FF0000"/>
          <w:sz w:val="32"/>
          <w:szCs w:val="32"/>
        </w:rPr>
      </w:pPr>
    </w:p>
    <w:p>
      <w:pPr>
        <w:pStyle w:val="3"/>
        <w:keepNext/>
        <w:keepLines/>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eastAsia"/>
          <w:b w:val="0"/>
          <w:bCs/>
          <w:lang w:val="en-US" w:eastAsia="zh-CN"/>
        </w:rPr>
      </w:pPr>
      <w:bookmarkStart w:id="20" w:name="_Toc7922"/>
      <w:r>
        <w:rPr>
          <w:rFonts w:hint="eastAsia"/>
          <w:b w:val="0"/>
          <w:bCs/>
          <w:lang w:val="en-US" w:eastAsia="zh-CN"/>
        </w:rPr>
        <w:t>五、“三公”经费情况</w:t>
      </w:r>
      <w:bookmarkEnd w:id="20"/>
    </w:p>
    <w:p>
      <w:pPr>
        <w:ind w:firstLine="640" w:firstLineChars="200"/>
        <w:rPr>
          <w:rFonts w:hint="eastAsia" w:ascii="黑体" w:hAnsi="Times New Roman" w:eastAsia="黑体" w:cs="Times New Roman"/>
          <w:b w:val="0"/>
          <w:bCs/>
          <w:kern w:val="2"/>
          <w:sz w:val="32"/>
          <w:szCs w:val="32"/>
          <w:lang w:val="en-US" w:eastAsia="zh-CN" w:bidi="ar-SA"/>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大同市第二看守所</w:t>
      </w:r>
      <w:r>
        <w:rPr>
          <w:rFonts w:hint="eastAsia" w:ascii="仿宋_GB2312" w:eastAsia="仿宋_GB2312"/>
          <w:sz w:val="32"/>
          <w:szCs w:val="32"/>
        </w:rPr>
        <w:t>“三公”经费预算</w:t>
      </w:r>
      <w:r>
        <w:rPr>
          <w:rFonts w:hint="eastAsia" w:ascii="仿宋_GB2312" w:eastAsia="仿宋_GB2312"/>
          <w:sz w:val="32"/>
          <w:szCs w:val="32"/>
          <w:lang w:val="en-US" w:eastAsia="zh-CN"/>
        </w:rPr>
        <w:t>已包含在市公安局本级预算中。</w:t>
      </w:r>
    </w:p>
    <w:p>
      <w:pPr>
        <w:pStyle w:val="3"/>
        <w:keepNext/>
        <w:keepLines/>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eastAsia"/>
          <w:b w:val="0"/>
          <w:bCs/>
          <w:lang w:val="en-US" w:eastAsia="zh-CN"/>
        </w:rPr>
      </w:pPr>
      <w:bookmarkStart w:id="21" w:name="_Toc6197"/>
      <w:r>
        <w:rPr>
          <w:rFonts w:hint="eastAsia"/>
          <w:b w:val="0"/>
          <w:bCs/>
          <w:lang w:val="en-US" w:eastAsia="zh-CN"/>
        </w:rPr>
        <w:t>六、2022年政府采购情况预算</w:t>
      </w:r>
      <w:bookmarkEnd w:id="21"/>
    </w:p>
    <w:p>
      <w:pPr>
        <w:ind w:firstLine="640" w:firstLineChars="2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年部门采购预算</w:t>
      </w:r>
      <w:r>
        <w:rPr>
          <w:rFonts w:hint="eastAsia" w:ascii="仿宋_GB2312" w:eastAsia="仿宋_GB2312"/>
          <w:sz w:val="32"/>
          <w:szCs w:val="32"/>
          <w:lang w:val="en-US" w:eastAsia="zh-CN"/>
        </w:rPr>
        <w:t>32.7</w:t>
      </w:r>
      <w:r>
        <w:rPr>
          <w:rFonts w:hint="eastAsia" w:ascii="仿宋_GB2312" w:eastAsia="仿宋_GB2312"/>
          <w:sz w:val="32"/>
          <w:szCs w:val="32"/>
        </w:rPr>
        <w:t>万元。</w:t>
      </w:r>
    </w:p>
    <w:p>
      <w:pPr>
        <w:pStyle w:val="3"/>
        <w:keepNext/>
        <w:keepLines/>
        <w:pageBreakBefore w:val="0"/>
        <w:widowControl w:val="0"/>
        <w:kinsoku/>
        <w:wordWrap/>
        <w:overflowPunct/>
        <w:topLinePunct w:val="0"/>
        <w:autoSpaceDE/>
        <w:autoSpaceDN/>
        <w:bidi w:val="0"/>
        <w:adjustRightInd/>
        <w:snapToGrid/>
        <w:spacing w:after="0" w:line="240" w:lineRule="auto"/>
        <w:ind w:firstLine="640" w:firstLineChars="200"/>
        <w:textAlignment w:val="auto"/>
        <w:rPr>
          <w:rFonts w:hint="eastAsia"/>
          <w:b w:val="0"/>
          <w:bCs/>
          <w:lang w:val="en-US" w:eastAsia="zh-CN"/>
        </w:rPr>
      </w:pPr>
      <w:bookmarkStart w:id="22" w:name="_Toc8587"/>
      <w:r>
        <w:rPr>
          <w:rFonts w:hint="eastAsia"/>
          <w:b w:val="0"/>
          <w:bCs/>
          <w:lang w:val="en-US" w:eastAsia="zh-CN"/>
        </w:rPr>
        <w:t>七、专业名词解释</w:t>
      </w:r>
      <w:bookmarkEnd w:id="22"/>
    </w:p>
    <w:p>
      <w:pPr>
        <w:ind w:firstLine="800" w:firstLineChars="250"/>
        <w:rPr>
          <w:rFonts w:hint="eastAsia" w:ascii="仿宋_GB2312" w:eastAsia="仿宋_GB2312"/>
          <w:sz w:val="32"/>
          <w:szCs w:val="32"/>
        </w:rPr>
      </w:pPr>
      <w:r>
        <w:rPr>
          <w:rFonts w:hint="eastAsia" w:ascii="仿宋_GB2312" w:eastAsia="仿宋_GB2312"/>
          <w:sz w:val="32"/>
          <w:szCs w:val="32"/>
        </w:rPr>
        <w:t>(1)基本支出:指为保障机构正常运转、完成日常工作任务而发生的人员支出和公用支出。</w:t>
      </w:r>
    </w:p>
    <w:p>
      <w:pPr>
        <w:ind w:firstLine="800" w:firstLineChars="250"/>
        <w:rPr>
          <w:rFonts w:hint="eastAsia" w:ascii="仿宋_GB2312" w:eastAsia="仿宋_GB2312"/>
          <w:sz w:val="32"/>
          <w:szCs w:val="32"/>
        </w:rPr>
      </w:pPr>
      <w:r>
        <w:rPr>
          <w:rFonts w:hint="eastAsia" w:ascii="仿宋_GB2312" w:eastAsia="仿宋_GB2312"/>
          <w:sz w:val="32"/>
          <w:szCs w:val="32"/>
        </w:rPr>
        <w:t>(2)项目支出:指在基本支出之外为完成特定行政任务和事业发展目标所发生的支出。</w:t>
      </w:r>
    </w:p>
    <w:p>
      <w:pPr>
        <w:ind w:firstLine="800" w:firstLineChars="250"/>
        <w:rPr>
          <w:rFonts w:hint="eastAsia" w:ascii="仿宋_GB2312" w:eastAsia="仿宋_GB2312"/>
          <w:sz w:val="32"/>
          <w:szCs w:val="32"/>
        </w:rPr>
      </w:pPr>
      <w:r>
        <w:rPr>
          <w:rFonts w:hint="eastAsia" w:ascii="仿宋_GB2312" w:eastAsia="仿宋_GB2312"/>
          <w:sz w:val="32"/>
          <w:szCs w:val="32"/>
        </w:rPr>
        <w:t>(3)“三公”经费:指市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ind w:firstLine="800" w:firstLineChars="250"/>
        <w:rPr>
          <w:rFonts w:hint="eastAsia" w:ascii="宋体" w:hAnsi="宋体"/>
          <w:b/>
          <w:bCs w:val="0"/>
          <w:color w:val="000000"/>
          <w:sz w:val="36"/>
          <w:szCs w:val="36"/>
          <w:lang w:val="en-US" w:eastAsia="zh-CN"/>
        </w:rPr>
      </w:pPr>
      <w:r>
        <w:rPr>
          <w:rFonts w:hint="eastAsia" w:ascii="仿宋_GB2312" w:eastAsia="仿宋_GB2312"/>
          <w:sz w:val="32"/>
          <w:szCs w:val="32"/>
        </w:rPr>
        <w:t>(4)机关运行经费:指行政单位和参照公务员法管理的事业单位使用一般公共预算安排的基本支出中的日常公用经费支出。</w:t>
      </w:r>
    </w:p>
    <w:p>
      <w:pPr>
        <w:pStyle w:val="2"/>
        <w:bidi w:val="0"/>
        <w:jc w:val="center"/>
        <w:rPr>
          <w:rFonts w:hint="eastAsia" w:ascii="仿宋_GB2312" w:eastAsia="仿宋_GB2312"/>
          <w:szCs w:val="32"/>
          <w:lang w:eastAsia="zh-CN"/>
        </w:rPr>
      </w:pPr>
      <w:bookmarkStart w:id="23" w:name="_Toc26460"/>
      <w:r>
        <w:rPr>
          <w:rFonts w:hint="eastAsia"/>
          <w:sz w:val="36"/>
          <w:szCs w:val="36"/>
          <w:lang w:val="en-US" w:eastAsia="zh-CN"/>
        </w:rPr>
        <w:t>第四部分 政府性基金预算情况</w:t>
      </w:r>
      <w:bookmarkEnd w:id="23"/>
    </w:p>
    <w:p>
      <w:pPr>
        <w:ind w:firstLine="960" w:firstLineChars="3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大同市第二看守所无政府性基金预算</w:t>
      </w:r>
      <w:r>
        <w:rPr>
          <w:rFonts w:hint="eastAsia" w:ascii="仿宋_GB2312" w:eastAsia="仿宋_GB2312"/>
          <w:sz w:val="32"/>
          <w:szCs w:val="32"/>
        </w:rPr>
        <w:t xml:space="preserve">。                          </w:t>
      </w:r>
    </w:p>
    <w:p>
      <w:pPr>
        <w:rPr>
          <w:rFonts w:hint="eastAsia" w:ascii="仿宋_GB2312" w:eastAsia="仿宋_GB2312"/>
          <w:sz w:val="32"/>
          <w:szCs w:val="32"/>
          <w:lang w:eastAsia="zh-CN"/>
        </w:rPr>
      </w:pPr>
    </w:p>
    <w:p>
      <w:pPr>
        <w:ind w:firstLine="6400" w:firstLineChars="2000"/>
        <w:rPr>
          <w:rFonts w:hint="eastAsia" w:ascii="仿宋_GB2312" w:eastAsia="仿宋_GB2312"/>
          <w:sz w:val="32"/>
          <w:szCs w:val="32"/>
          <w:lang w:val="en-US" w:eastAsia="zh-CN"/>
        </w:rPr>
      </w:pPr>
      <w:r>
        <w:rPr>
          <w:rFonts w:hint="eastAsia" w:ascii="仿宋_GB2312" w:eastAsia="仿宋_GB2312"/>
          <w:sz w:val="32"/>
          <w:szCs w:val="32"/>
          <w:lang w:eastAsia="zh-CN"/>
        </w:rPr>
        <w:t>大同市第二看守所</w:t>
      </w:r>
    </w:p>
    <w:p>
      <w:pPr>
        <w:ind w:firstLine="6400" w:firstLineChars="2000"/>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3</w:t>
      </w:r>
      <w:r>
        <w:rPr>
          <w:rFonts w:hint="eastAsia" w:ascii="仿宋_GB2312" w:eastAsia="仿宋_GB2312"/>
          <w:sz w:val="32"/>
          <w:szCs w:val="32"/>
        </w:rPr>
        <w:t>月</w:t>
      </w:r>
      <w:r>
        <w:rPr>
          <w:rFonts w:hint="eastAsia" w:ascii="仿宋_GB2312" w:eastAsia="仿宋_GB2312"/>
          <w:sz w:val="32"/>
          <w:szCs w:val="32"/>
          <w:lang w:val="en-US" w:eastAsia="zh-CN"/>
        </w:rPr>
        <w:t>29</w:t>
      </w:r>
      <w:r>
        <w:rPr>
          <w:rFonts w:hint="eastAsia" w:ascii="仿宋_GB2312" w:eastAsia="仿宋_GB2312"/>
          <w:sz w:val="32"/>
          <w:szCs w:val="32"/>
        </w:rPr>
        <w:t>日</w:t>
      </w:r>
      <w:r>
        <w:rPr>
          <w:rFonts w:hint="eastAsia"/>
          <w:color w:val="000000"/>
        </w:rPr>
        <w:t xml:space="preserve">   </w:t>
      </w:r>
    </w:p>
    <w:sectPr>
      <w:pgSz w:w="11906" w:h="16838"/>
      <w:pgMar w:top="1440" w:right="1080" w:bottom="1304" w:left="108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26108C"/>
    <w:multiLevelType w:val="singleLevel"/>
    <w:tmpl w:val="5026108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wN2VhMDk4Y2NlYzM2ODJmMjI3M2ZmMDVjOWRiMDUifQ=="/>
  </w:docVars>
  <w:rsids>
    <w:rsidRoot w:val="0A726B84"/>
    <w:rsid w:val="0A726B84"/>
    <w:rsid w:val="0EEA08F3"/>
    <w:rsid w:val="143000E0"/>
    <w:rsid w:val="17E93A85"/>
    <w:rsid w:val="186B08E4"/>
    <w:rsid w:val="1B5352CC"/>
    <w:rsid w:val="26B3110E"/>
    <w:rsid w:val="27A0686D"/>
    <w:rsid w:val="2B320BB4"/>
    <w:rsid w:val="3B3B31B7"/>
    <w:rsid w:val="6E876AB1"/>
    <w:rsid w:val="74E32823"/>
    <w:rsid w:val="7B5A64B3"/>
    <w:rsid w:val="7E355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uiPriority w:val="0"/>
  </w:style>
  <w:style w:type="paragraph" w:styleId="7">
    <w:name w:val="toc 2"/>
    <w:basedOn w:val="1"/>
    <w:next w:val="1"/>
    <w:uiPriority w:val="0"/>
    <w:pPr>
      <w:ind w:left="420" w:leftChars="200"/>
    </w:p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1">
    <w:name w:val="List Paragraph"/>
    <w:basedOn w:val="1"/>
    <w:unhideWhenUsed/>
    <w:qFormat/>
    <w:uiPriority w:val="99"/>
    <w:pPr>
      <w:ind w:firstLine="420" w:firstLineChars="200"/>
    </w:p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paragraph" w:customStyle="1" w:styleId="1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2362</Words>
  <Characters>2875</Characters>
  <Lines>0</Lines>
  <Paragraphs>0</Paragraphs>
  <TotalTime>11</TotalTime>
  <ScaleCrop>false</ScaleCrop>
  <LinksUpToDate>false</LinksUpToDate>
  <CharactersWithSpaces>2932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2021-05-07T09:25:00Z</dcterms:created>
  <dc:creator>86177</dc:creator>
  <cp:lastModifiedBy>FallingUpstream</cp:lastModifiedBy>
  <dcterms:modified xsi:type="dcterms:W3CDTF">2023-09-29T09:22:42Z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8BA54D308AB64FADA7FE55336BB8BB29</vt:lpwstr>
  </property>
</Properties>
</file>