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color w:val="7F7F7F"/>
          <w:sz w:val="32"/>
          <w:szCs w:val="32"/>
        </w:rPr>
      </w:pPr>
      <w:r>
        <mc:AlternateContent>
          <mc:Choice Requires="wpg">
            <w:drawing>
              <wp:anchor distT="0" distB="0" distL="114300" distR="114300" simplePos="0" relativeHeight="251659264" behindDoc="0" locked="0" layoutInCell="0" allowOverlap="1">
                <wp:simplePos x="0" y="0"/>
                <wp:positionH relativeFrom="page">
                  <wp:posOffset>-95250</wp:posOffset>
                </wp:positionH>
                <wp:positionV relativeFrom="margin">
                  <wp:posOffset>161925</wp:posOffset>
                </wp:positionV>
                <wp:extent cx="7559675" cy="9777095"/>
                <wp:effectExtent l="0" t="0" r="9525" b="635"/>
                <wp:wrapNone/>
                <wp:docPr id="15" name="组合 15"/>
                <wp:cNvGraphicFramePr/>
                <a:graphic xmlns:a="http://schemas.openxmlformats.org/drawingml/2006/main">
                  <a:graphicData uri="http://schemas.microsoft.com/office/word/2010/wordprocessingGroup">
                    <wpg:wgp>
                      <wpg:cNvGrpSpPr/>
                      <wpg:grpSpPr>
                        <a:xfrm>
                          <a:off x="0" y="0"/>
                          <a:ext cx="7559675" cy="9777095"/>
                          <a:chOff x="0" y="1440"/>
                          <a:chExt cx="12239" cy="12960"/>
                        </a:xfrm>
                        <a:effectLst/>
                      </wpg:grpSpPr>
                      <wpg:grpSp>
                        <wpg:cNvPr id="11" name="组合 11"/>
                        <wpg:cNvGrpSpPr/>
                        <wpg:grpSpPr>
                          <a:xfrm>
                            <a:off x="0" y="9661"/>
                            <a:ext cx="12239" cy="4739"/>
                            <a:chOff x="-6" y="3399"/>
                            <a:chExt cx="12197" cy="4253"/>
                          </a:xfrm>
                          <a:effectLst/>
                        </wpg:grpSpPr>
                        <wpg:grpSp>
                          <wpg:cNvPr id="4" name="组合 4"/>
                          <wpg:cNvGrpSpPr/>
                          <wpg:grpSpPr>
                            <a:xfrm>
                              <a:off x="-6" y="3717"/>
                              <a:ext cx="12189" cy="3550"/>
                              <a:chOff x="18" y="7468"/>
                              <a:chExt cx="12189" cy="3550"/>
                            </a:xfrm>
                            <a:effectLst/>
                          </wpg:grpSpPr>
                          <wps:wsp>
                            <wps:cNvPr id="1" name="任意多边形 1"/>
                            <wps:cNvSpPr/>
                            <wps:spPr>
                              <a:xfrm>
                                <a:off x="18" y="7837"/>
                                <a:ext cx="7132" cy="2863"/>
                              </a:xfrm>
                              <a:custGeom>
                                <a:avLst/>
                                <a:gdLst/>
                                <a:ahLst/>
                                <a:cxnLst/>
                                <a:rect l="0" t="0" r="0" b="0"/>
                                <a:pathLst>
                                  <a:path w="7132" h="2863">
                                    <a:moveTo>
                                      <a:pt x="0" y="0"/>
                                    </a:moveTo>
                                    <a:lnTo>
                                      <a:pt x="17" y="2863"/>
                                    </a:lnTo>
                                    <a:lnTo>
                                      <a:pt x="7132" y="2578"/>
                                    </a:lnTo>
                                    <a:lnTo>
                                      <a:pt x="7132" y="200"/>
                                    </a:lnTo>
                                    <a:lnTo>
                                      <a:pt x="0" y="0"/>
                                    </a:lnTo>
                                    <a:close/>
                                  </a:path>
                                </a:pathLst>
                              </a:custGeom>
                              <a:solidFill>
                                <a:srgbClr val="A7BFDE">
                                  <a:alpha val="50000"/>
                                </a:srgbClr>
                              </a:solidFill>
                              <a:ln>
                                <a:noFill/>
                              </a:ln>
                              <a:effectLst/>
                            </wps:spPr>
                            <wps:bodyPr vert="horz" wrap="square" anchor="t" anchorCtr="0" upright="1"/>
                          </wps:wsp>
                          <wps:wsp>
                            <wps:cNvPr id="2" name="任意多边形 2"/>
                            <wps:cNvSpPr/>
                            <wps:spPr>
                              <a:xfrm>
                                <a:off x="7150" y="7468"/>
                                <a:ext cx="3466" cy="3550"/>
                              </a:xfrm>
                              <a:custGeom>
                                <a:avLst/>
                                <a:gdLst/>
                                <a:ahLst/>
                                <a:cxnLst/>
                                <a:rect l="0" t="0" r="0" b="0"/>
                                <a:pathLst>
                                  <a:path w="3466" h="3550">
                                    <a:moveTo>
                                      <a:pt x="0" y="569"/>
                                    </a:moveTo>
                                    <a:lnTo>
                                      <a:pt x="0" y="2930"/>
                                    </a:lnTo>
                                    <a:lnTo>
                                      <a:pt x="3466" y="3550"/>
                                    </a:lnTo>
                                    <a:lnTo>
                                      <a:pt x="3466" y="0"/>
                                    </a:lnTo>
                                    <a:lnTo>
                                      <a:pt x="0" y="569"/>
                                    </a:lnTo>
                                    <a:close/>
                                  </a:path>
                                </a:pathLst>
                              </a:custGeom>
                              <a:solidFill>
                                <a:srgbClr val="D3DFEE">
                                  <a:alpha val="50000"/>
                                </a:srgbClr>
                              </a:solidFill>
                              <a:ln>
                                <a:noFill/>
                              </a:ln>
                              <a:effectLst/>
                            </wps:spPr>
                            <wps:bodyPr vert="horz" wrap="square" anchor="t" anchorCtr="0" upright="1"/>
                          </wps:wsp>
                          <wps:wsp>
                            <wps:cNvPr id="3" name="任意多边形 3"/>
                            <wps:cNvSpPr/>
                            <wps:spPr>
                              <a:xfrm>
                                <a:off x="10616" y="7468"/>
                                <a:ext cx="1591" cy="3550"/>
                              </a:xfrm>
                              <a:custGeom>
                                <a:avLst/>
                                <a:gdLst/>
                                <a:ahLst/>
                                <a:cxnLst/>
                                <a:rect l="0" t="0" r="0" b="0"/>
                                <a:pathLst>
                                  <a:path w="1591" h="3550">
                                    <a:moveTo>
                                      <a:pt x="0" y="0"/>
                                    </a:moveTo>
                                    <a:lnTo>
                                      <a:pt x="0" y="3550"/>
                                    </a:lnTo>
                                    <a:lnTo>
                                      <a:pt x="1591" y="2746"/>
                                    </a:lnTo>
                                    <a:lnTo>
                                      <a:pt x="1591" y="737"/>
                                    </a:lnTo>
                                    <a:lnTo>
                                      <a:pt x="0" y="0"/>
                                    </a:lnTo>
                                    <a:close/>
                                  </a:path>
                                </a:pathLst>
                              </a:custGeom>
                              <a:solidFill>
                                <a:srgbClr val="A7BFDE">
                                  <a:alpha val="50000"/>
                                </a:srgbClr>
                              </a:solidFill>
                              <a:ln>
                                <a:noFill/>
                              </a:ln>
                              <a:effectLst/>
                            </wps:spPr>
                            <wps:bodyPr vert="horz" wrap="square" anchor="t" anchorCtr="0" upright="1"/>
                          </wps:wsp>
                        </wpg:grpSp>
                        <wps:wsp>
                          <wps:cNvPr id="5" name="任意多边形 5"/>
                          <wps:cNvSpPr/>
                          <wps:spPr>
                            <a:xfrm>
                              <a:off x="8071" y="4069"/>
                              <a:ext cx="4120" cy="2913"/>
                            </a:xfrm>
                            <a:custGeom>
                              <a:avLst/>
                              <a:gdLst/>
                              <a:ahLst/>
                              <a:cxnLst/>
                              <a:rect l="0" t="0" r="0" b="0"/>
                              <a:pathLst>
                                <a:path w="4120" h="2913">
                                  <a:moveTo>
                                    <a:pt x="1" y="251"/>
                                  </a:moveTo>
                                  <a:lnTo>
                                    <a:pt x="0" y="2662"/>
                                  </a:lnTo>
                                  <a:lnTo>
                                    <a:pt x="4120" y="2913"/>
                                  </a:lnTo>
                                  <a:lnTo>
                                    <a:pt x="4120" y="0"/>
                                  </a:lnTo>
                                  <a:lnTo>
                                    <a:pt x="1" y="251"/>
                                  </a:lnTo>
                                  <a:close/>
                                </a:path>
                              </a:pathLst>
                            </a:custGeom>
                            <a:solidFill>
                              <a:srgbClr val="D8D8D8"/>
                            </a:solidFill>
                            <a:ln>
                              <a:noFill/>
                            </a:ln>
                            <a:effectLst/>
                          </wps:spPr>
                          <wps:bodyPr vert="horz" wrap="square" anchor="t" anchorCtr="0" upright="1"/>
                        </wps:wsp>
                        <wps:wsp>
                          <wps:cNvPr id="6" name="任意多边形 6"/>
                          <wps:cNvSpPr/>
                          <wps:spPr>
                            <a:xfrm>
                              <a:off x="4104" y="3399"/>
                              <a:ext cx="3985" cy="4236"/>
                            </a:xfrm>
                            <a:custGeom>
                              <a:avLst/>
                              <a:gdLst/>
                              <a:ahLst/>
                              <a:cxnLst/>
                              <a:rect l="0" t="0" r="0" b="0"/>
                              <a:pathLst>
                                <a:path w="3985" h="4236">
                                  <a:moveTo>
                                    <a:pt x="0" y="0"/>
                                  </a:moveTo>
                                  <a:lnTo>
                                    <a:pt x="0" y="4236"/>
                                  </a:lnTo>
                                  <a:lnTo>
                                    <a:pt x="3985" y="3349"/>
                                  </a:lnTo>
                                  <a:lnTo>
                                    <a:pt x="3985" y="921"/>
                                  </a:lnTo>
                                  <a:lnTo>
                                    <a:pt x="0" y="0"/>
                                  </a:lnTo>
                                  <a:close/>
                                </a:path>
                              </a:pathLst>
                            </a:custGeom>
                            <a:solidFill>
                              <a:srgbClr val="BFBFBF"/>
                            </a:solidFill>
                            <a:ln>
                              <a:noFill/>
                            </a:ln>
                            <a:effectLst/>
                          </wps:spPr>
                          <wps:bodyPr vert="horz" wrap="square" anchor="t" anchorCtr="0" upright="1"/>
                        </wps:wsp>
                        <wps:wsp>
                          <wps:cNvPr id="7" name="任意多边形 7"/>
                          <wps:cNvSpPr/>
                          <wps:spPr>
                            <a:xfrm>
                              <a:off x="18" y="3399"/>
                              <a:ext cx="4086" cy="4253"/>
                            </a:xfrm>
                            <a:custGeom>
                              <a:avLst/>
                              <a:gdLst/>
                              <a:ahLst/>
                              <a:cxnLst/>
                              <a:rect l="0" t="0" r="0" b="0"/>
                              <a:pathLst>
                                <a:path w="4086" h="4253">
                                  <a:moveTo>
                                    <a:pt x="4086" y="0"/>
                                  </a:moveTo>
                                  <a:lnTo>
                                    <a:pt x="4084" y="4253"/>
                                  </a:lnTo>
                                  <a:lnTo>
                                    <a:pt x="0" y="3198"/>
                                  </a:lnTo>
                                  <a:lnTo>
                                    <a:pt x="0" y="1072"/>
                                  </a:lnTo>
                                  <a:lnTo>
                                    <a:pt x="4086" y="0"/>
                                  </a:lnTo>
                                  <a:close/>
                                </a:path>
                              </a:pathLst>
                            </a:custGeom>
                            <a:solidFill>
                              <a:srgbClr val="D8D8D8"/>
                            </a:solidFill>
                            <a:ln>
                              <a:noFill/>
                            </a:ln>
                            <a:effectLst/>
                          </wps:spPr>
                          <wps:bodyPr vert="horz" wrap="square" anchor="t" anchorCtr="0" upright="1"/>
                        </wps:wsp>
                        <wps:wsp>
                          <wps:cNvPr id="8" name="任意多边形 8"/>
                          <wps:cNvSpPr/>
                          <wps:spPr>
                            <a:xfrm>
                              <a:off x="17" y="3617"/>
                              <a:ext cx="2076" cy="3851"/>
                            </a:xfrm>
                            <a:custGeom>
                              <a:avLst/>
                              <a:gdLst/>
                              <a:ahLst/>
                              <a:cxnLst/>
                              <a:rect l="0" t="0" r="0" b="0"/>
                              <a:pathLst>
                                <a:path w="2076" h="3851">
                                  <a:moveTo>
                                    <a:pt x="0" y="921"/>
                                  </a:moveTo>
                                  <a:lnTo>
                                    <a:pt x="2060" y="0"/>
                                  </a:lnTo>
                                  <a:lnTo>
                                    <a:pt x="2076" y="3851"/>
                                  </a:lnTo>
                                  <a:lnTo>
                                    <a:pt x="0" y="2981"/>
                                  </a:lnTo>
                                  <a:lnTo>
                                    <a:pt x="0" y="921"/>
                                  </a:lnTo>
                                  <a:close/>
                                </a:path>
                              </a:pathLst>
                            </a:custGeom>
                            <a:solidFill>
                              <a:srgbClr val="D3DFEE">
                                <a:alpha val="70000"/>
                              </a:srgbClr>
                            </a:solidFill>
                            <a:ln>
                              <a:noFill/>
                            </a:ln>
                            <a:effectLst/>
                          </wps:spPr>
                          <wps:bodyPr vert="horz" wrap="square" anchor="t" anchorCtr="0" upright="1"/>
                        </wps:wsp>
                        <wps:wsp>
                          <wps:cNvPr id="9" name="任意多边形 9"/>
                          <wps:cNvSpPr/>
                          <wps:spPr>
                            <a:xfrm>
                              <a:off x="2077" y="3617"/>
                              <a:ext cx="6011" cy="3835"/>
                            </a:xfrm>
                            <a:custGeom>
                              <a:avLst/>
                              <a:gdLst/>
                              <a:ahLst/>
                              <a:cxnLst/>
                              <a:rect l="0" t="0" r="0" b="0"/>
                              <a:pathLst>
                                <a:path w="6011" h="3835">
                                  <a:moveTo>
                                    <a:pt x="0" y="0"/>
                                  </a:moveTo>
                                  <a:lnTo>
                                    <a:pt x="17" y="3835"/>
                                  </a:lnTo>
                                  <a:lnTo>
                                    <a:pt x="6011" y="2629"/>
                                  </a:lnTo>
                                  <a:lnTo>
                                    <a:pt x="6011" y="1239"/>
                                  </a:lnTo>
                                  <a:lnTo>
                                    <a:pt x="0" y="0"/>
                                  </a:lnTo>
                                  <a:close/>
                                </a:path>
                              </a:pathLst>
                            </a:custGeom>
                            <a:solidFill>
                              <a:srgbClr val="A7BFDE">
                                <a:alpha val="70000"/>
                              </a:srgbClr>
                            </a:solidFill>
                            <a:ln>
                              <a:noFill/>
                            </a:ln>
                            <a:effectLst/>
                          </wps:spPr>
                          <wps:bodyPr vert="horz" wrap="square" anchor="t" anchorCtr="0" upright="1"/>
                        </wps:wsp>
                        <wps:wsp>
                          <wps:cNvPr id="10" name="任意多边形 10"/>
                          <wps:cNvSpPr/>
                          <wps:spPr>
                            <a:xfrm>
                              <a:off x="8088" y="3835"/>
                              <a:ext cx="4102" cy="3432"/>
                            </a:xfrm>
                            <a:custGeom>
                              <a:avLst/>
                              <a:gdLst/>
                              <a:ahLst/>
                              <a:cxnLst/>
                              <a:rect l="0" t="0" r="0" b="0"/>
                              <a:pathLst>
                                <a:path w="4102" h="3432">
                                  <a:moveTo>
                                    <a:pt x="0" y="1038"/>
                                  </a:moveTo>
                                  <a:lnTo>
                                    <a:pt x="0" y="2411"/>
                                  </a:lnTo>
                                  <a:lnTo>
                                    <a:pt x="4102" y="3432"/>
                                  </a:lnTo>
                                  <a:lnTo>
                                    <a:pt x="4102" y="0"/>
                                  </a:lnTo>
                                  <a:lnTo>
                                    <a:pt x="0" y="1038"/>
                                  </a:lnTo>
                                  <a:close/>
                                </a:path>
                              </a:pathLst>
                            </a:custGeom>
                            <a:solidFill>
                              <a:srgbClr val="D3DFEE">
                                <a:alpha val="70000"/>
                              </a:srgbClr>
                            </a:solidFill>
                            <a:ln>
                              <a:noFill/>
                            </a:ln>
                            <a:effectLst/>
                          </wps:spPr>
                          <wps:bodyPr vert="horz" wrap="square" anchor="t" anchorCtr="0" upright="1"/>
                        </wps:wsp>
                      </wpg:grpSp>
                      <wps:wsp>
                        <wps:cNvPr id="12" name="矩形 12"/>
                        <wps:cNvSpPr/>
                        <wps:spPr>
                          <a:xfrm>
                            <a:off x="1800" y="1440"/>
                            <a:ext cx="8638" cy="384"/>
                          </a:xfrm>
                          <a:prstGeom prst="rect">
                            <a:avLst/>
                          </a:prstGeom>
                          <a:noFill/>
                          <a:ln>
                            <a:noFill/>
                          </a:ln>
                          <a:effectLst/>
                        </wps:spPr>
                        <wps:txbx>
                          <w:txbxContent>
                            <w:p/>
                          </w:txbxContent>
                        </wps:txbx>
                        <wps:bodyPr vert="horz" wrap="square" anchor="t" anchorCtr="0" upright="1">
                          <a:spAutoFit/>
                        </wps:bodyPr>
                      </wps:wsp>
                      <wps:wsp>
                        <wps:cNvPr id="13" name="矩形 13"/>
                        <wps:cNvSpPr/>
                        <wps:spPr>
                          <a:xfrm>
                            <a:off x="6494" y="11160"/>
                            <a:ext cx="4998" cy="1172"/>
                          </a:xfrm>
                          <a:prstGeom prst="rect">
                            <a:avLst/>
                          </a:prstGeom>
                          <a:noFill/>
                          <a:ln>
                            <a:noFill/>
                          </a:ln>
                          <a:effectLst/>
                        </wps:spPr>
                        <wps:txbx>
                          <w:txbxContent>
                            <w:p>
                              <w:pPr>
                                <w:jc w:val="right"/>
                                <w:rPr>
                                  <w:sz w:val="96"/>
                                  <w:szCs w:val="96"/>
                                </w:rPr>
                              </w:pPr>
                            </w:p>
                          </w:txbxContent>
                        </wps:txbx>
                        <wps:bodyPr vert="horz" wrap="square" anchor="t" anchorCtr="0" upright="1">
                          <a:spAutoFit/>
                        </wps:bodyPr>
                      </wps:wsp>
                      <wps:wsp>
                        <wps:cNvPr id="14" name="矩形 14"/>
                        <wps:cNvSpPr/>
                        <wps:spPr>
                          <a:xfrm>
                            <a:off x="1800" y="2294"/>
                            <a:ext cx="8638" cy="7268"/>
                          </a:xfrm>
                          <a:prstGeom prst="rect">
                            <a:avLst/>
                          </a:prstGeom>
                          <a:noFill/>
                          <a:ln>
                            <a:noFill/>
                          </a:ln>
                          <a:effectLst/>
                        </wps:spPr>
                        <wps:txbx>
                          <w:txbxContent>
                            <w:p>
                              <w:pPr>
                                <w:rPr>
                                  <w:b/>
                                  <w:bCs/>
                                  <w:color w:val="44546A"/>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r>
                                <w:rPr>
                                  <w:rFonts w:hint="eastAsia" w:ascii="方正小标宋简体" w:hAnsi="方正小标宋简体" w:eastAsia="方正小标宋简体" w:cs="方正小标宋简体"/>
                                  <w:color w:val="5B9BD5"/>
                                  <w:sz w:val="72"/>
                                  <w:szCs w:val="72"/>
                                </w:rPr>
                                <w:t>大同市妇女儿童教育中心</w:t>
                              </w:r>
                            </w:p>
                            <w:p>
                              <w:pPr>
                                <w:jc w:val="left"/>
                                <w:rPr>
                                  <w:rFonts w:ascii="方正小标宋简体" w:hAnsi="方正小标宋简体" w:eastAsia="方正小标宋简体" w:cs="方正小标宋简体"/>
                                  <w:color w:val="5B9BD5"/>
                                  <w:sz w:val="72"/>
                                  <w:szCs w:val="72"/>
                                </w:rPr>
                              </w:pPr>
                              <w:r>
                                <w:rPr>
                                  <w:rFonts w:hint="eastAsia" w:ascii="方正小标宋简体" w:hAnsi="方正小标宋简体" w:eastAsia="方正小标宋简体" w:cs="方正小标宋简体"/>
                                  <w:color w:val="5B9BD5"/>
                                  <w:sz w:val="72"/>
                                  <w:szCs w:val="72"/>
                                </w:rPr>
                                <w:t>20</w:t>
                              </w:r>
                              <w:r>
                                <w:rPr>
                                  <w:rFonts w:ascii="方正小标宋简体" w:hAnsi="方正小标宋简体" w:eastAsia="方正小标宋简体" w:cs="方正小标宋简体"/>
                                  <w:color w:val="5B9BD5"/>
                                  <w:sz w:val="72"/>
                                  <w:szCs w:val="72"/>
                                  <w:lang w:val="en"/>
                                </w:rPr>
                                <w:t>2</w:t>
                              </w:r>
                              <w:r>
                                <w:rPr>
                                  <w:rFonts w:hint="eastAsia" w:ascii="方正小标宋简体" w:hAnsi="方正小标宋简体" w:eastAsia="方正小标宋简体" w:cs="方正小标宋简体"/>
                                  <w:color w:val="5B9BD5"/>
                                  <w:sz w:val="72"/>
                                  <w:szCs w:val="72"/>
                                </w:rPr>
                                <w:t>1年度</w:t>
                              </w:r>
                              <w:r>
                                <w:rPr>
                                  <w:rFonts w:ascii="方正小标宋简体" w:hAnsi="方正小标宋简体" w:eastAsia="方正小标宋简体" w:cs="方正小标宋简体"/>
                                  <w:color w:val="5B9BD5"/>
                                  <w:sz w:val="72"/>
                                  <w:szCs w:val="72"/>
                                  <w:lang w:val="en"/>
                                </w:rPr>
                                <w:t>单位</w:t>
                              </w:r>
                              <w:r>
                                <w:rPr>
                                  <w:rFonts w:hint="eastAsia" w:ascii="方正小标宋简体" w:hAnsi="方正小标宋简体" w:eastAsia="方正小标宋简体" w:cs="方正小标宋简体"/>
                                  <w:color w:val="5B9BD5"/>
                                  <w:sz w:val="72"/>
                                  <w:szCs w:val="72"/>
                                </w:rPr>
                                <w:t>决算</w:t>
                              </w:r>
                            </w:p>
                            <w:p>
                              <w:pPr>
                                <w:rPr>
                                  <w:b/>
                                  <w:bCs/>
                                  <w:color w:val="7F7F7F"/>
                                  <w:sz w:val="32"/>
                                  <w:szCs w:val="32"/>
                                </w:rPr>
                              </w:pPr>
                            </w:p>
                          </w:txbxContent>
                        </wps:txbx>
                        <wps:bodyPr vert="horz" wrap="square" anchor="b" anchorCtr="0" upright="1"/>
                      </wps:wsp>
                    </wpg:wgp>
                  </a:graphicData>
                </a:graphic>
                <wp14:sizeRelH relativeFrom="page">
                  <wp14:pctWidth>100000</wp14:pctWidth>
                </wp14:sizeRelH>
                <wp14:sizeRelV relativeFrom="margin">
                  <wp14:pctHeight>100000</wp14:pctHeight>
                </wp14:sizeRelV>
              </wp:anchor>
            </w:drawing>
          </mc:Choice>
          <mc:Fallback>
            <w:pict>
              <v:group id="_x0000_s1026" o:spid="_x0000_s1026" o:spt="203" style="position:absolute;left:0pt;margin-left:-7.5pt;margin-top:12.75pt;height:769.85pt;width:595.25pt;mso-position-horizontal-relative:page;mso-position-vertical-relative:margin;z-index:251659264;mso-width-relative:page;mso-height-relative:margin;mso-width-percent:1000;mso-height-percent:1000;" coordorigin="0,1440" coordsize="12239,12960" o:allowincell="f" o:gfxdata="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">
                <o:lock v:ext="edit" aspectratio="f"/>
                <v:group id="_x0000_s1026" o:spid="_x0000_s1026" o:spt="203" style="position:absolute;left:0;top:9661;height:4739;width:12239;" coordorigin="-6,3399" coordsize="12197,4253"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6;top:3717;height:3550;width:12189;" coordorigin="18,7468" coordsize="12189,3550"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100" style="position:absolute;left:18;top:7837;height:2863;width:7132;" fillcolor="#A7BFDE" filled="t" stroked="f" coordsize="7132,2863" o:gfxdata="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CF+kftwAAANoAAAAP&#10;AAAAAAAAAAEAIAAAACIAAABkcnMvZG93bnJldi54bWxQSwECFAAUAAAACACHTuJAMy8FnjsAAAA5&#10;AAAAEAAAAAAAAAABACAAAAAGAQAAZHJzL3NoYXBleG1sLnhtbFBLBQYAAAAABgAGAFsBAACwAwAA&#10;AAA=&#10;" path="m0,0l17,2863,7132,2578,7132,200,0,0xe">
                      <v:fill on="t" opacity="32768f" focussize="0,0"/>
                      <v:stroke on="f"/>
                      <v:imagedata o:title=""/>
                      <o:lock v:ext="edit" aspectratio="f"/>
                    </v:shape>
                    <v:shape id="_x0000_s1026" o:spid="_x0000_s1026" o:spt="100" style="position:absolute;left:7150;top:7468;height:3550;width:3466;" fillcolor="#D3DFEE" filled="t" stroked="f" coordsize="3466,3550" o:gfxdata="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mg5ugAAANoA&#10;AAAPAAAAAAAAAAEAIAAAACIAAABkcnMvZG93bnJldi54bWxQSwECFAAUAAAACACHTuJAMy8FnjsA&#10;AAA5AAAAEAAAAAAAAAABACAAAAAJAQAAZHJzL3NoYXBleG1sLnhtbFBLBQYAAAAABgAGAFsBAACz&#10;AwAAAAA=&#10;" path="m0,569l0,2930,3466,3550,3466,0,0,569xe">
                      <v:fill on="t" opacity="32768f" focussize="0,0"/>
                      <v:stroke on="f"/>
                      <v:imagedata o:title=""/>
                      <o:lock v:ext="edit" aspectratio="f"/>
                    </v:shape>
                    <v:shape id="_x0000_s1026" o:spid="_x0000_s1026" o:spt="100" style="position:absolute;left:10616;top:7468;height:3550;width:1591;" fillcolor="#A7BFDE" filled="t" stroked="f" coordsize="1591,3550" o:gfxdata="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MgWuC8AAAA&#10;2gAAAA8AAAAAAAAAAQAgAAAAIgAAAGRycy9kb3ducmV2LnhtbFBLAQIUABQAAAAIAIdO4kAzLwWe&#10;OwAAADkAAAAQAAAAAAAAAAEAIAAAAAsBAABkcnMvc2hhcGV4bWwueG1sUEsFBgAAAAAGAAYAWwEA&#10;ALUDAAAAAA==&#10;" path="m0,0l0,3550,1591,2746,1591,737,0,0xe">
                      <v:fill on="t" opacity="32768f" focussize="0,0"/>
                      <v:stroke on="f"/>
                      <v:imagedata o:title=""/>
                      <o:lock v:ext="edit" aspectratio="f"/>
                    </v:shape>
                  </v:group>
                  <v:shape id="_x0000_s1026" o:spid="_x0000_s1026" o:spt="100" style="position:absolute;left:8071;top:4069;height:2913;width:4120;" fillcolor="#D8D8D8" filled="t" stroked="f" coordsize="4120,2913" o:gfxdata="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pHapy8AAAA&#10;2gAAAA8AAAAAAAAAAQAgAAAAIgAAAGRycy9kb3ducmV2LnhtbFBLAQIUABQAAAAIAIdO4kAzLwWe&#10;OwAAADkAAAAQAAAAAAAAAAEAIAAAAAsBAABkcnMvc2hhcGV4bWwueG1sUEsFBgAAAAAGAAYAWwEA&#10;ALUDAAAAAA==&#10;" path="m1,251l0,2662,4120,2913,4120,0,1,251xe">
                    <v:fill on="t" focussize="0,0"/>
                    <v:stroke on="f"/>
                    <v:imagedata o:title=""/>
                    <o:lock v:ext="edit" aspectratio="f"/>
                  </v:shape>
                  <v:shape id="_x0000_s1026" o:spid="_x0000_s1026" o:spt="100" style="position:absolute;left:4104;top:3399;height:4236;width:3985;" fillcolor="#BFBFBF" filled="t" stroked="f" coordsize="3985,4236" o:gfxdata="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ubnq8AAAA&#10;2gAAAA8AAAAAAAAAAQAgAAAAIgAAAGRycy9kb3ducmV2LnhtbFBLAQIUABQAAAAIAIdO4kAzLwWe&#10;OwAAADkAAAAQAAAAAAAAAAEAIAAAAAsBAABkcnMvc2hhcGV4bWwueG1sUEsFBgAAAAAGAAYAWwEA&#10;ALUDAAAAAA==&#10;" path="m0,0l0,4236,3985,3349,3985,921,0,0xe">
                    <v:fill on="t" focussize="0,0"/>
                    <v:stroke on="f"/>
                    <v:imagedata o:title=""/>
                    <o:lock v:ext="edit" aspectratio="f"/>
                  </v:shape>
                  <v:shape id="_x0000_s1026" o:spid="_x0000_s1026" o:spt="100" style="position:absolute;left:18;top:3399;height:4253;width:4086;" fillcolor="#D8D8D8" filled="t" stroked="f" coordsize="4086,4253" o:gfxdata="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PAM0vQAA&#10;ANoAAAAPAAAAAAAAAAEAIAAAACIAAABkcnMvZG93bnJldi54bWxQSwECFAAUAAAACACHTuJAMy8F&#10;njsAAAA5AAAAEAAAAAAAAAABACAAAAAMAQAAZHJzL3NoYXBleG1sLnhtbFBLBQYAAAAABgAGAFsB&#10;AAC2AwAAAAA=&#10;" path="m4086,0l4084,4253,0,3198,0,1072,4086,0xe">
                    <v:fill on="t" focussize="0,0"/>
                    <v:stroke on="f"/>
                    <v:imagedata o:title=""/>
                    <o:lock v:ext="edit" aspectratio="f"/>
                  </v:shape>
                  <v:shape id="_x0000_s1026" o:spid="_x0000_s1026" o:spt="100" style="position:absolute;left:17;top:3617;height:3851;width:2076;" fillcolor="#D3DFEE" filled="t" stroked="f" coordsize="2076,3851" o:gfxdata="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NS8K5AAAA2gAA&#10;AA8AAAAAAAAAAQAgAAAAIgAAAGRycy9kb3ducmV2LnhtbFBLAQIUABQAAAAIAIdO4kAzLwWeOwAA&#10;ADkAAAAQAAAAAAAAAAEAIAAAAAgBAABkcnMvc2hhcGV4bWwueG1sUEsFBgAAAAAGAAYAWwEAALID&#10;AAAAAA==&#10;" path="m0,921l2060,0,2076,3851,0,2981,0,921xe">
                    <v:fill on="t" opacity="45875f" focussize="0,0"/>
                    <v:stroke on="f"/>
                    <v:imagedata o:title=""/>
                    <o:lock v:ext="edit" aspectratio="f"/>
                  </v:shape>
                  <v:shape id="_x0000_s1026" o:spid="_x0000_s1026" o:spt="100" style="position:absolute;left:2077;top:3617;height:3835;width:6011;" fillcolor="#A7BFDE" filled="t" stroked="f" coordsize="6011,3835" o:gfxdata="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T7XwbgAAADaAAAA&#10;DwAAAAAAAAABACAAAAAiAAAAZHJzL2Rvd25yZXYueG1sUEsBAhQAFAAAAAgAh07iQDMvBZ47AAAA&#10;OQAAABAAAAAAAAAAAQAgAAAABwEAAGRycy9zaGFwZXhtbC54bWxQSwUGAAAAAAYABgBbAQAAsQMA&#10;AAAA&#10;" path="m0,0l17,3835,6011,2629,6011,1239,0,0xe">
                    <v:fill on="t" opacity="45875f" focussize="0,0"/>
                    <v:stroke on="f"/>
                    <v:imagedata o:title=""/>
                    <o:lock v:ext="edit" aspectratio="f"/>
                  </v:shape>
                  <v:shape id="_x0000_s1026" o:spid="_x0000_s1026" o:spt="100" style="position:absolute;left:8088;top:3835;height:3432;width:4102;" fillcolor="#D3DFEE" filled="t" stroked="f" coordsize="4102,3432" o:gfxdata="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SSdDvQAA&#10;ANsAAAAPAAAAAAAAAAEAIAAAACIAAABkcnMvZG93bnJldi54bWxQSwECFAAUAAAACACHTuJAMy8F&#10;njsAAAA5AAAAEAAAAAAAAAABACAAAAAMAQAAZHJzL3NoYXBleG1sLnhtbFBLBQYAAAAABgAGAFsB&#10;AAC2AwAAAAA=&#10;" path="m0,1038l0,2411,4102,3432,4102,0,0,1038xe">
                    <v:fill on="t" opacity="45875f" focussize="0,0"/>
                    <v:stroke on="f"/>
                    <v:imagedata o:title=""/>
                    <o:lock v:ext="edit" aspectratio="f"/>
                  </v:shape>
                </v:group>
                <v:rect id="_x0000_s1026" o:spid="_x0000_s1026" o:spt="1" style="position:absolute;left:1800;top:1440;height:384;width:8638;" filled="f" stroked="f" coordsize="21600,21600" o:gfxdata="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glUWq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txbxContent>
                  </v:textbox>
                </v:rect>
                <v:rect id="_x0000_s1026" o:spid="_x0000_s1026" o:spt="1" style="position:absolute;left:6494;top:11160;height:1172;width:4998;" filled="f" stroked="f" coordsize="21600,21600" o:gfxdata="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p9PG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jc w:val="right"/>
                          <w:rPr>
                            <w:sz w:val="96"/>
                            <w:szCs w:val="96"/>
                          </w:rPr>
                        </w:pPr>
                      </w:p>
                    </w:txbxContent>
                  </v:textbox>
                </v:rect>
                <v:rect id="_x0000_s1026" o:spid="_x0000_s1026" o:spt="1" style="position:absolute;left:1800;top:2294;height:7268;width:8638;v-text-anchor:bottom;" filled="f" stroked="f" coordsize="21600,21600" o:gfxdata="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z95F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rPr>
                            <w:b/>
                            <w:bCs/>
                            <w:color w:val="44546A"/>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p>
                      <w:p>
                        <w:pPr>
                          <w:jc w:val="left"/>
                          <w:rPr>
                            <w:rFonts w:ascii="方正小标宋简体" w:hAnsi="方正小标宋简体" w:eastAsia="方正小标宋简体" w:cs="方正小标宋简体"/>
                            <w:color w:val="5B9BD5"/>
                            <w:sz w:val="72"/>
                            <w:szCs w:val="72"/>
                          </w:rPr>
                        </w:pPr>
                        <w:r>
                          <w:rPr>
                            <w:rFonts w:hint="eastAsia" w:ascii="方正小标宋简体" w:hAnsi="方正小标宋简体" w:eastAsia="方正小标宋简体" w:cs="方正小标宋简体"/>
                            <w:color w:val="5B9BD5"/>
                            <w:sz w:val="72"/>
                            <w:szCs w:val="72"/>
                          </w:rPr>
                          <w:t>大同市妇女儿童教育中心</w:t>
                        </w:r>
                      </w:p>
                      <w:p>
                        <w:pPr>
                          <w:jc w:val="left"/>
                          <w:rPr>
                            <w:rFonts w:ascii="方正小标宋简体" w:hAnsi="方正小标宋简体" w:eastAsia="方正小标宋简体" w:cs="方正小标宋简体"/>
                            <w:color w:val="5B9BD5"/>
                            <w:sz w:val="72"/>
                            <w:szCs w:val="72"/>
                          </w:rPr>
                        </w:pPr>
                        <w:r>
                          <w:rPr>
                            <w:rFonts w:hint="eastAsia" w:ascii="方正小标宋简体" w:hAnsi="方正小标宋简体" w:eastAsia="方正小标宋简体" w:cs="方正小标宋简体"/>
                            <w:color w:val="5B9BD5"/>
                            <w:sz w:val="72"/>
                            <w:szCs w:val="72"/>
                          </w:rPr>
                          <w:t>20</w:t>
                        </w:r>
                        <w:r>
                          <w:rPr>
                            <w:rFonts w:ascii="方正小标宋简体" w:hAnsi="方正小标宋简体" w:eastAsia="方正小标宋简体" w:cs="方正小标宋简体"/>
                            <w:color w:val="5B9BD5"/>
                            <w:sz w:val="72"/>
                            <w:szCs w:val="72"/>
                            <w:lang w:val="en"/>
                          </w:rPr>
                          <w:t>2</w:t>
                        </w:r>
                        <w:r>
                          <w:rPr>
                            <w:rFonts w:hint="eastAsia" w:ascii="方正小标宋简体" w:hAnsi="方正小标宋简体" w:eastAsia="方正小标宋简体" w:cs="方正小标宋简体"/>
                            <w:color w:val="5B9BD5"/>
                            <w:sz w:val="72"/>
                            <w:szCs w:val="72"/>
                          </w:rPr>
                          <w:t>1年度</w:t>
                        </w:r>
                        <w:r>
                          <w:rPr>
                            <w:rFonts w:ascii="方正小标宋简体" w:hAnsi="方正小标宋简体" w:eastAsia="方正小标宋简体" w:cs="方正小标宋简体"/>
                            <w:color w:val="5B9BD5"/>
                            <w:sz w:val="72"/>
                            <w:szCs w:val="72"/>
                            <w:lang w:val="en"/>
                          </w:rPr>
                          <w:t>单位</w:t>
                        </w:r>
                        <w:r>
                          <w:rPr>
                            <w:rFonts w:hint="eastAsia" w:ascii="方正小标宋简体" w:hAnsi="方正小标宋简体" w:eastAsia="方正小标宋简体" w:cs="方正小标宋简体"/>
                            <w:color w:val="5B9BD5"/>
                            <w:sz w:val="72"/>
                            <w:szCs w:val="72"/>
                          </w:rPr>
                          <w:t>决算</w:t>
                        </w:r>
                      </w:p>
                      <w:p>
                        <w:pPr>
                          <w:rPr>
                            <w:b/>
                            <w:bCs/>
                            <w:color w:val="7F7F7F"/>
                            <w:sz w:val="32"/>
                            <w:szCs w:val="32"/>
                          </w:rPr>
                        </w:pPr>
                      </w:p>
                    </w:txbxContent>
                  </v:textbox>
                </v:rect>
              </v:group>
            </w:pict>
          </mc:Fallback>
        </mc:AlternateContent>
      </w:r>
    </w:p>
    <w:p>
      <w:pPr>
        <w:widowControl/>
        <w:jc w:val="center"/>
        <w:rPr>
          <w:rFonts w:ascii="宋体" w:hAnsi="宋体" w:cs="宋体"/>
          <w:b/>
          <w:bCs/>
          <w:kern w:val="0"/>
          <w:sz w:val="52"/>
          <w:szCs w:val="52"/>
        </w:rPr>
        <w:sectPr>
          <w:footerReference r:id="rId4" w:type="first"/>
          <w:footerReference r:id="rId3" w:type="default"/>
          <w:pgSz w:w="11906" w:h="16838"/>
          <w:pgMar w:top="720" w:right="720" w:bottom="720" w:left="720" w:header="851" w:footer="992" w:gutter="0"/>
          <w:cols w:space="720" w:num="1"/>
          <w:titlePg/>
          <w:docGrid w:type="lines" w:linePitch="312" w:charSpace="0"/>
        </w:sectPr>
      </w:pPr>
    </w:p>
    <w:p>
      <w:pPr>
        <w:widowControl/>
        <w:jc w:val="center"/>
        <w:rPr>
          <w:rFonts w:ascii="宋体" w:hAnsi="宋体" w:cs="宋体"/>
          <w:b/>
          <w:bCs/>
          <w:kern w:val="0"/>
          <w:sz w:val="52"/>
          <w:szCs w:val="52"/>
        </w:rPr>
      </w:pPr>
      <w:r>
        <w:rPr>
          <w:rFonts w:hint="eastAsia" w:ascii="宋体" w:hAnsi="宋体" w:cs="宋体"/>
          <w:b/>
          <w:bCs/>
          <w:kern w:val="0"/>
          <w:sz w:val="52"/>
          <w:szCs w:val="52"/>
        </w:rPr>
        <w:t>目    录</w:t>
      </w:r>
    </w:p>
    <w:p>
      <w:pPr>
        <w:widowControl/>
        <w:jc w:val="distribute"/>
        <w:rPr>
          <w:rFonts w:ascii="黑体" w:hAnsi="黑体" w:eastAsia="黑体" w:cs="宋体"/>
          <w:bCs/>
          <w:kern w:val="0"/>
          <w:sz w:val="30"/>
          <w:szCs w:val="30"/>
        </w:rPr>
      </w:pPr>
    </w:p>
    <w:p>
      <w:pPr>
        <w:widowControl/>
        <w:spacing w:line="560" w:lineRule="exact"/>
        <w:rPr>
          <w:rFonts w:ascii="黑体" w:hAnsi="黑体" w:eastAsia="黑体" w:cs="宋体"/>
          <w:bCs/>
          <w:kern w:val="0"/>
          <w:sz w:val="30"/>
          <w:szCs w:val="30"/>
        </w:rPr>
      </w:pPr>
      <w:r>
        <w:rPr>
          <w:rFonts w:hint="eastAsia" w:ascii="黑体" w:hAnsi="黑体" w:eastAsia="黑体" w:cs="宋体"/>
          <w:bCs/>
          <w:kern w:val="0"/>
          <w:sz w:val="30"/>
          <w:szCs w:val="30"/>
        </w:rPr>
        <w:t>第一</w:t>
      </w:r>
      <w:r>
        <w:rPr>
          <w:rFonts w:ascii="黑体" w:hAnsi="黑体" w:eastAsia="黑体" w:cs="宋体"/>
          <w:bCs/>
          <w:kern w:val="0"/>
          <w:sz w:val="30"/>
          <w:szCs w:val="30"/>
        </w:rPr>
        <w:t>部分</w:t>
      </w:r>
      <w:r>
        <w:rPr>
          <w:rFonts w:hint="eastAsia" w:ascii="黑体" w:hAnsi="黑体" w:eastAsia="黑体" w:cs="宋体"/>
          <w:bCs/>
          <w:kern w:val="0"/>
          <w:sz w:val="30"/>
          <w:szCs w:val="30"/>
        </w:rPr>
        <w:t xml:space="preserve">  概况</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4</w:t>
      </w:r>
    </w:p>
    <w:p>
      <w:pPr>
        <w:pStyle w:val="8"/>
        <w:widowControl/>
        <w:spacing w:line="560" w:lineRule="exact"/>
        <w:ind w:firstLine="600"/>
        <w:rPr>
          <w:rFonts w:ascii="仿宋" w:hAnsi="仿宋" w:eastAsia="仿宋" w:cs="宋体"/>
          <w:bCs/>
          <w:kern w:val="0"/>
          <w:sz w:val="30"/>
          <w:szCs w:val="30"/>
        </w:rPr>
      </w:pPr>
      <w:r>
        <w:rPr>
          <w:rFonts w:hint="eastAsia" w:ascii="仿宋_GB2312" w:hAnsi="仿宋_GB2312" w:eastAsia="仿宋_GB2312" w:cs="仿宋_GB2312"/>
          <w:bCs/>
          <w:kern w:val="0"/>
          <w:sz w:val="30"/>
          <w:szCs w:val="30"/>
        </w:rPr>
        <w:t>一、本</w:t>
      </w:r>
      <w:r>
        <w:rPr>
          <w:rFonts w:hint="eastAsia" w:ascii="仿宋_GB2312" w:hAnsi="仿宋_GB2312" w:eastAsia="仿宋_GB2312" w:cs="仿宋_GB2312"/>
          <w:bCs/>
          <w:kern w:val="0"/>
          <w:sz w:val="30"/>
          <w:szCs w:val="30"/>
          <w:lang w:val="en"/>
        </w:rPr>
        <w:t>单位</w:t>
      </w:r>
      <w:r>
        <w:rPr>
          <w:rFonts w:hint="eastAsia" w:ascii="仿宋_GB2312" w:hAnsi="仿宋_GB2312" w:eastAsia="仿宋_GB2312" w:cs="仿宋_GB2312"/>
          <w:bCs/>
          <w:kern w:val="0"/>
          <w:sz w:val="30"/>
          <w:szCs w:val="30"/>
        </w:rPr>
        <w:t>职责</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4</w:t>
      </w:r>
    </w:p>
    <w:p>
      <w:pPr>
        <w:pStyle w:val="8"/>
        <w:widowControl/>
        <w:spacing w:line="560" w:lineRule="exact"/>
        <w:ind w:firstLine="600"/>
        <w:rPr>
          <w:rFonts w:ascii="仿宋" w:hAnsi="仿宋" w:eastAsia="仿宋" w:cs="宋体"/>
          <w:bCs/>
          <w:kern w:val="0"/>
          <w:sz w:val="30"/>
          <w:szCs w:val="30"/>
        </w:rPr>
      </w:pPr>
      <w:r>
        <w:rPr>
          <w:rFonts w:hint="eastAsia" w:ascii="仿宋_GB2312" w:hAnsi="仿宋_GB2312" w:eastAsia="仿宋_GB2312" w:cs="仿宋_GB2312"/>
          <w:bCs/>
          <w:kern w:val="0"/>
          <w:sz w:val="30"/>
          <w:szCs w:val="30"/>
        </w:rPr>
        <w:t>二、机构设置情况</w:t>
      </w:r>
      <w:r>
        <w:rPr>
          <w:rFonts w:ascii="仿宋" w:hAnsi="仿宋" w:eastAsia="仿宋" w:cs="宋体"/>
          <w:bCs/>
          <w:kern w:val="0"/>
          <w:sz w:val="30"/>
          <w:szCs w:val="30"/>
        </w:rPr>
        <w:t>……………………………………………</w:t>
      </w:r>
      <w:r>
        <w:rPr>
          <w:rFonts w:ascii="仿宋_GB2312" w:hAnsi="仿宋_GB2312" w:eastAsia="仿宋_GB2312" w:cs="仿宋_GB2312"/>
          <w:bCs/>
          <w:kern w:val="0"/>
          <w:sz w:val="30"/>
          <w:szCs w:val="30"/>
        </w:rPr>
        <w:t>4</w:t>
      </w:r>
    </w:p>
    <w:p>
      <w:pPr>
        <w:widowControl/>
        <w:spacing w:line="560" w:lineRule="exact"/>
        <w:rPr>
          <w:rFonts w:ascii="黑体" w:hAnsi="黑体" w:eastAsia="黑体" w:cs="宋体"/>
          <w:bCs/>
          <w:kern w:val="0"/>
          <w:sz w:val="30"/>
          <w:szCs w:val="30"/>
        </w:rPr>
      </w:pPr>
      <w:r>
        <w:rPr>
          <w:rFonts w:hint="eastAsia" w:ascii="黑体" w:hAnsi="黑体" w:eastAsia="黑体" w:cs="宋体"/>
          <w:bCs/>
          <w:kern w:val="0"/>
          <w:sz w:val="30"/>
          <w:szCs w:val="30"/>
        </w:rPr>
        <w:t>第二部分20</w:t>
      </w:r>
      <w:r>
        <w:rPr>
          <w:rFonts w:ascii="黑体" w:hAnsi="黑体" w:eastAsia="黑体" w:cs="宋体"/>
          <w:bCs/>
          <w:kern w:val="0"/>
          <w:sz w:val="30"/>
          <w:szCs w:val="30"/>
          <w:lang w:val="en"/>
        </w:rPr>
        <w:t>2</w:t>
      </w:r>
      <w:r>
        <w:rPr>
          <w:rFonts w:hint="eastAsia" w:ascii="黑体" w:hAnsi="黑体" w:eastAsia="黑体" w:cs="宋体"/>
          <w:bCs/>
          <w:kern w:val="0"/>
          <w:sz w:val="30"/>
          <w:szCs w:val="30"/>
        </w:rPr>
        <w:t>1年度</w:t>
      </w:r>
      <w:r>
        <w:rPr>
          <w:rFonts w:ascii="黑体" w:hAnsi="黑体" w:eastAsia="黑体" w:cs="宋体"/>
          <w:bCs/>
          <w:kern w:val="0"/>
          <w:sz w:val="30"/>
          <w:szCs w:val="30"/>
          <w:lang w:val="en"/>
        </w:rPr>
        <w:t>单位</w:t>
      </w:r>
      <w:r>
        <w:rPr>
          <w:rFonts w:hint="eastAsia" w:ascii="黑体" w:hAnsi="黑体" w:eastAsia="黑体" w:cs="宋体"/>
          <w:bCs/>
          <w:kern w:val="0"/>
          <w:sz w:val="30"/>
          <w:szCs w:val="30"/>
        </w:rPr>
        <w:t>决算报表</w:t>
      </w:r>
      <w:r>
        <w:rPr>
          <w:rFonts w:ascii="仿宋" w:hAnsi="仿宋" w:eastAsia="仿宋" w:cs="宋体"/>
          <w:bCs/>
          <w:kern w:val="0"/>
          <w:sz w:val="30"/>
          <w:szCs w:val="30"/>
        </w:rPr>
        <w:t>………………………………</w:t>
      </w:r>
      <w:r>
        <w:rPr>
          <w:rFonts w:ascii="仿宋_GB2312" w:hAnsi="仿宋_GB2312" w:eastAsia="仿宋_GB2312" w:cs="仿宋_GB2312"/>
          <w:bCs/>
          <w:kern w:val="0"/>
          <w:sz w:val="30"/>
          <w:szCs w:val="30"/>
        </w:rPr>
        <w:t>5</w:t>
      </w:r>
    </w:p>
    <w:p>
      <w:pPr>
        <w:widowControl/>
        <w:spacing w:line="560" w:lineRule="exact"/>
        <w:ind w:firstLine="600"/>
        <w:rPr>
          <w:rFonts w:ascii="仿宋" w:hAnsi="仿宋" w:eastAsia="仿宋" w:cs="宋体"/>
          <w:bCs/>
          <w:kern w:val="0"/>
          <w:sz w:val="30"/>
          <w:szCs w:val="30"/>
        </w:rPr>
      </w:pPr>
      <w:r>
        <w:rPr>
          <w:rFonts w:hint="eastAsia" w:ascii="仿宋_GB2312" w:hAnsi="仿宋_GB2312" w:eastAsia="仿宋_GB2312" w:cs="仿宋_GB2312"/>
          <w:bCs/>
          <w:kern w:val="0"/>
          <w:sz w:val="30"/>
          <w:szCs w:val="30"/>
        </w:rPr>
        <w:t>一、2021年大同市妇女儿童教育中心收入支出决算总表</w:t>
      </w:r>
      <w:r>
        <w:rPr>
          <w:rFonts w:ascii="仿宋" w:hAnsi="仿宋" w:eastAsia="仿宋" w:cs="宋体"/>
          <w:bCs/>
          <w:kern w:val="0"/>
          <w:sz w:val="30"/>
          <w:szCs w:val="30"/>
        </w:rPr>
        <w:t>…</w:t>
      </w:r>
      <w:r>
        <w:rPr>
          <w:rFonts w:ascii="仿宋_GB2312" w:hAnsi="仿宋_GB2312" w:eastAsia="仿宋_GB2312" w:cs="仿宋_GB2312"/>
          <w:bCs/>
          <w:kern w:val="0"/>
          <w:sz w:val="30"/>
          <w:szCs w:val="30"/>
        </w:rPr>
        <w:t>6</w:t>
      </w:r>
    </w:p>
    <w:p>
      <w:pPr>
        <w:widowControl/>
        <w:spacing w:line="560" w:lineRule="exact"/>
        <w:ind w:firstLine="600"/>
        <w:rPr>
          <w:rFonts w:ascii="仿宋" w:hAnsi="仿宋" w:eastAsia="仿宋" w:cs="宋体"/>
          <w:bCs/>
          <w:kern w:val="0"/>
          <w:sz w:val="30"/>
          <w:szCs w:val="30"/>
        </w:rPr>
      </w:pPr>
      <w:r>
        <w:rPr>
          <w:rFonts w:ascii="仿宋_GB2312" w:hAnsi="仿宋_GB2312" w:eastAsia="仿宋_GB2312" w:cs="仿宋_GB2312"/>
          <w:bCs/>
          <w:kern w:val="0"/>
          <w:sz w:val="30"/>
          <w:szCs w:val="30"/>
          <w:lang w:val="en"/>
        </w:rPr>
        <w:t>二、</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1年大同市妇女儿童教育中心收入决算表</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8</w:t>
      </w:r>
    </w:p>
    <w:p>
      <w:pPr>
        <w:widowControl/>
        <w:spacing w:line="56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ascii="仿宋_GB2312" w:hAnsi="仿宋_GB2312" w:eastAsia="仿宋_GB2312" w:cs="仿宋_GB2312"/>
          <w:bCs/>
          <w:kern w:val="0"/>
          <w:sz w:val="30"/>
          <w:szCs w:val="30"/>
          <w:lang w:val="en"/>
        </w:rPr>
        <w:t>三</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1年大同市妇女儿童教育中心支出决算表</w:t>
      </w:r>
      <w:r>
        <w:rPr>
          <w:rFonts w:ascii="仿宋" w:hAnsi="仿宋" w:eastAsia="仿宋" w:cs="宋体"/>
          <w:bCs/>
          <w:kern w:val="0"/>
          <w:sz w:val="30"/>
          <w:szCs w:val="30"/>
        </w:rPr>
        <w:t>…………</w:t>
      </w:r>
      <w:r>
        <w:rPr>
          <w:rFonts w:ascii="仿宋_GB2312" w:hAnsi="仿宋_GB2312" w:eastAsia="仿宋_GB2312" w:cs="仿宋_GB2312"/>
          <w:bCs/>
          <w:kern w:val="0"/>
          <w:sz w:val="30"/>
          <w:szCs w:val="30"/>
        </w:rPr>
        <w:t>9</w:t>
      </w:r>
    </w:p>
    <w:p>
      <w:pPr>
        <w:widowControl/>
        <w:spacing w:line="560" w:lineRule="exact"/>
        <w:ind w:left="1196" w:leftChars="284" w:hanging="600" w:hangingChars="200"/>
        <w:rPr>
          <w:rFonts w:ascii="仿宋" w:hAnsi="仿宋" w:eastAsia="仿宋" w:cs="宋体"/>
          <w:bCs/>
          <w:kern w:val="0"/>
          <w:sz w:val="30"/>
          <w:szCs w:val="30"/>
        </w:rPr>
      </w:pPr>
      <w:r>
        <w:rPr>
          <w:rFonts w:ascii="仿宋_GB2312" w:hAnsi="仿宋_GB2312" w:eastAsia="仿宋_GB2312" w:cs="仿宋_GB2312"/>
          <w:bCs/>
          <w:kern w:val="0"/>
          <w:sz w:val="30"/>
          <w:szCs w:val="30"/>
          <w:lang w:val="en"/>
        </w:rPr>
        <w:t>四</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1年大同市妇女儿童教育中心财政拨款收入支出决算总表</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1</w:t>
      </w:r>
      <w:r>
        <w:rPr>
          <w:rFonts w:ascii="仿宋_GB2312" w:hAnsi="仿宋_GB2312" w:eastAsia="仿宋_GB2312" w:cs="仿宋_GB2312"/>
          <w:bCs/>
          <w:kern w:val="0"/>
          <w:sz w:val="30"/>
          <w:szCs w:val="30"/>
        </w:rPr>
        <w:t>0</w:t>
      </w:r>
    </w:p>
    <w:p>
      <w:pPr>
        <w:widowControl/>
        <w:spacing w:line="560" w:lineRule="exact"/>
        <w:ind w:left="1200" w:hanging="1200" w:hangingChars="400"/>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rPr>
        <w:t xml:space="preserve"> 五、20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1年大同市妇女儿童教育中心一般公共预算财政拨款支出决算表（一）</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1</w:t>
      </w:r>
      <w:r>
        <w:rPr>
          <w:rFonts w:ascii="仿宋_GB2312" w:hAnsi="仿宋_GB2312" w:eastAsia="仿宋_GB2312" w:cs="仿宋_GB2312"/>
          <w:bCs/>
          <w:kern w:val="0"/>
          <w:sz w:val="30"/>
          <w:szCs w:val="30"/>
        </w:rPr>
        <w:t>2</w:t>
      </w:r>
    </w:p>
    <w:p>
      <w:pPr>
        <w:widowControl/>
        <w:spacing w:line="560" w:lineRule="exact"/>
        <w:ind w:left="1196" w:leftChars="284" w:hanging="600" w:hangingChars="200"/>
        <w:rPr>
          <w:rFonts w:ascii="仿宋" w:hAnsi="仿宋" w:eastAsia="仿宋" w:cs="宋体"/>
          <w:bCs/>
          <w:kern w:val="0"/>
          <w:sz w:val="30"/>
          <w:szCs w:val="30"/>
        </w:rPr>
      </w:pPr>
      <w:r>
        <w:rPr>
          <w:rFonts w:hint="eastAsia" w:ascii="仿宋_GB2312" w:hAnsi="仿宋_GB2312" w:eastAsia="仿宋_GB2312" w:cs="仿宋_GB2312"/>
          <w:bCs/>
          <w:kern w:val="0"/>
          <w:sz w:val="30"/>
          <w:szCs w:val="30"/>
          <w:lang w:val="en"/>
        </w:rPr>
        <w:t>六</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1年大同市妇女儿童教育中心一般公共预算财政拨款支出决算表（二）</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1</w:t>
      </w:r>
      <w:r>
        <w:rPr>
          <w:rFonts w:ascii="仿宋_GB2312" w:hAnsi="仿宋_GB2312" w:eastAsia="仿宋_GB2312" w:cs="仿宋_GB2312"/>
          <w:bCs/>
          <w:kern w:val="0"/>
          <w:sz w:val="30"/>
          <w:szCs w:val="30"/>
        </w:rPr>
        <w:t>3</w:t>
      </w:r>
    </w:p>
    <w:p>
      <w:pPr>
        <w:widowControl/>
        <w:spacing w:line="560" w:lineRule="exact"/>
        <w:ind w:left="1198" w:leftChars="142" w:hanging="900" w:hangingChars="300"/>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lang w:val="en"/>
        </w:rPr>
        <w:t>七</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1年大同市妇女儿童教育中心一般公共预算财政拨款“三公”经费支出决算表</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1</w:t>
      </w:r>
      <w:r>
        <w:rPr>
          <w:rFonts w:ascii="仿宋_GB2312" w:hAnsi="仿宋_GB2312" w:eastAsia="仿宋_GB2312" w:cs="仿宋_GB2312"/>
          <w:bCs/>
          <w:kern w:val="0"/>
          <w:sz w:val="30"/>
          <w:szCs w:val="30"/>
        </w:rPr>
        <w:t>5</w:t>
      </w:r>
    </w:p>
    <w:p>
      <w:pPr>
        <w:widowControl/>
        <w:spacing w:line="560" w:lineRule="exact"/>
        <w:ind w:left="1200" w:hanging="1200" w:hangingChars="400"/>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lang w:val="en"/>
        </w:rPr>
        <w:t>八</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1年大同市妇女儿童教育中心政府性基金预算财政拨款收入支出决算表</w:t>
      </w:r>
      <w:r>
        <w:rPr>
          <w:rFonts w:ascii="仿宋" w:hAnsi="仿宋" w:eastAsia="仿宋" w:cs="宋体"/>
          <w:bCs/>
          <w:kern w:val="0"/>
          <w:sz w:val="30"/>
          <w:szCs w:val="30"/>
        </w:rPr>
        <w:t>…………………………………</w:t>
      </w:r>
      <w:r>
        <w:rPr>
          <w:rFonts w:ascii="仿宋_GB2312" w:hAnsi="仿宋_GB2312" w:eastAsia="仿宋_GB2312" w:cs="仿宋_GB2312"/>
          <w:bCs/>
          <w:kern w:val="0"/>
          <w:sz w:val="30"/>
          <w:szCs w:val="30"/>
        </w:rPr>
        <w:t>16</w:t>
      </w:r>
    </w:p>
    <w:p>
      <w:pPr>
        <w:widowControl/>
        <w:spacing w:line="560" w:lineRule="exact"/>
        <w:ind w:left="1200" w:hanging="1200" w:hangingChars="400"/>
        <w:rPr>
          <w:rFonts w:ascii="仿宋" w:hAnsi="仿宋" w:eastAsia="仿宋" w:cs="宋体"/>
          <w:bCs/>
          <w:kern w:val="0"/>
          <w:sz w:val="30"/>
          <w:szCs w:val="30"/>
        </w:rPr>
      </w:pPr>
      <w:r>
        <w:rPr>
          <w:rFonts w:hint="eastAsia" w:ascii="仿宋" w:hAnsi="仿宋" w:eastAsia="仿宋" w:cs="宋体"/>
          <w:bCs/>
          <w:kern w:val="0"/>
          <w:sz w:val="30"/>
          <w:szCs w:val="30"/>
        </w:rPr>
        <w:t xml:space="preserve">    九</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w:t>
      </w:r>
      <w:r>
        <w:rPr>
          <w:rFonts w:hint="eastAsia" w:ascii="仿宋_GB2312" w:hAnsi="仿宋_GB2312" w:eastAsia="仿宋_GB2312" w:cs="仿宋_GB2312"/>
          <w:bCs/>
          <w:kern w:val="0"/>
          <w:sz w:val="30"/>
          <w:szCs w:val="30"/>
          <w:lang w:val="en"/>
        </w:rPr>
        <w:t>国有资本经营预算财政拨款支出决算表</w:t>
      </w:r>
      <w:r>
        <w:rPr>
          <w:rFonts w:ascii="仿宋" w:hAnsi="仿宋" w:eastAsia="仿宋" w:cs="宋体"/>
          <w:bCs/>
          <w:kern w:val="0"/>
          <w:sz w:val="30"/>
          <w:szCs w:val="30"/>
        </w:rPr>
        <w:t>……………………………………</w:t>
      </w:r>
      <w:r>
        <w:rPr>
          <w:rFonts w:ascii="仿宋_GB2312" w:hAnsi="仿宋_GB2312" w:eastAsia="仿宋_GB2312" w:cs="仿宋_GB2312"/>
          <w:bCs/>
          <w:kern w:val="0"/>
          <w:sz w:val="30"/>
          <w:szCs w:val="30"/>
        </w:rPr>
        <w:t>17</w:t>
      </w:r>
    </w:p>
    <w:p>
      <w:pPr>
        <w:widowControl/>
        <w:spacing w:line="560" w:lineRule="exact"/>
        <w:ind w:left="1200" w:hanging="1200" w:hangingChars="400"/>
        <w:rPr>
          <w:rFonts w:ascii="仿宋" w:hAnsi="仿宋" w:eastAsia="仿宋" w:cs="宋体"/>
          <w:bCs/>
          <w:kern w:val="0"/>
          <w:sz w:val="30"/>
          <w:szCs w:val="30"/>
        </w:rPr>
      </w:pPr>
      <w:r>
        <w:rPr>
          <w:rFonts w:hint="eastAsia" w:ascii="仿宋" w:hAnsi="仿宋" w:eastAsia="仿宋" w:cs="宋体"/>
          <w:bCs/>
          <w:kern w:val="0"/>
          <w:sz w:val="30"/>
          <w:szCs w:val="30"/>
        </w:rPr>
        <w:t xml:space="preserve">    十</w:t>
      </w:r>
      <w:r>
        <w:rPr>
          <w:rFonts w:hint="eastAsia" w:ascii="仿宋_GB2312" w:hAnsi="仿宋_GB2312" w:eastAsia="仿宋_GB2312" w:cs="仿宋_GB2312"/>
          <w:bCs/>
          <w:kern w:val="0"/>
          <w:sz w:val="30"/>
          <w:szCs w:val="30"/>
        </w:rPr>
        <w:t>、20</w:t>
      </w:r>
      <w:r>
        <w:rPr>
          <w:rFonts w:hint="eastAsia" w:ascii="仿宋_GB2312" w:hAnsi="仿宋_GB2312" w:eastAsia="仿宋_GB2312" w:cs="仿宋_GB2312"/>
          <w:bCs/>
          <w:kern w:val="0"/>
          <w:sz w:val="30"/>
          <w:szCs w:val="30"/>
          <w:lang w:val="en"/>
        </w:rPr>
        <w:t>2</w:t>
      </w:r>
      <w:r>
        <w:rPr>
          <w:rFonts w:hint="eastAsia" w:ascii="仿宋_GB2312" w:hAnsi="仿宋_GB2312" w:eastAsia="仿宋_GB2312" w:cs="仿宋_GB2312"/>
          <w:bCs/>
          <w:kern w:val="0"/>
          <w:sz w:val="30"/>
          <w:szCs w:val="30"/>
        </w:rPr>
        <w:t>1年大同市妇女儿童教育中心</w:t>
      </w:r>
      <w:r>
        <w:rPr>
          <w:rFonts w:hint="eastAsia" w:ascii="仿宋_GB2312" w:hAnsi="仿宋_GB2312" w:eastAsia="仿宋_GB2312" w:cs="仿宋_GB2312"/>
          <w:bCs/>
          <w:kern w:val="0"/>
          <w:sz w:val="30"/>
          <w:szCs w:val="30"/>
          <w:lang w:val="en"/>
        </w:rPr>
        <w:t>单位</w:t>
      </w:r>
      <w:r>
        <w:rPr>
          <w:rFonts w:hint="eastAsia" w:ascii="仿宋_GB2312" w:hAnsi="仿宋_GB2312" w:eastAsia="仿宋_GB2312" w:cs="仿宋_GB2312"/>
          <w:bCs/>
          <w:kern w:val="0"/>
          <w:sz w:val="30"/>
          <w:szCs w:val="30"/>
        </w:rPr>
        <w:t>决算公开相关信息统计表</w:t>
      </w:r>
      <w:r>
        <w:rPr>
          <w:rFonts w:ascii="仿宋" w:hAnsi="仿宋" w:eastAsia="仿宋" w:cs="宋体"/>
          <w:bCs/>
          <w:kern w:val="0"/>
          <w:sz w:val="30"/>
          <w:szCs w:val="30"/>
        </w:rPr>
        <w:t>………………………………………………</w:t>
      </w:r>
      <w:r>
        <w:rPr>
          <w:rFonts w:ascii="仿宋_GB2312" w:hAnsi="仿宋_GB2312" w:eastAsia="仿宋_GB2312" w:cs="仿宋_GB2312"/>
          <w:bCs/>
          <w:kern w:val="0"/>
          <w:sz w:val="30"/>
          <w:szCs w:val="30"/>
        </w:rPr>
        <w:t>18</w:t>
      </w:r>
    </w:p>
    <w:p>
      <w:pPr>
        <w:widowControl/>
        <w:spacing w:line="560" w:lineRule="exact"/>
        <w:rPr>
          <w:rFonts w:ascii="黑体" w:hAnsi="黑体" w:eastAsia="仿宋" w:cs="宋体"/>
          <w:bCs/>
          <w:kern w:val="0"/>
          <w:sz w:val="30"/>
          <w:szCs w:val="30"/>
        </w:rPr>
      </w:pPr>
      <w:r>
        <w:rPr>
          <w:rFonts w:hint="eastAsia" w:ascii="黑体" w:hAnsi="黑体" w:eastAsia="黑体" w:cs="宋体"/>
          <w:bCs/>
          <w:kern w:val="0"/>
          <w:sz w:val="30"/>
          <w:szCs w:val="30"/>
        </w:rPr>
        <w:t>第三部分 2021年度单位决算情况说明</w:t>
      </w:r>
      <w:r>
        <w:rPr>
          <w:rFonts w:ascii="仿宋" w:hAnsi="仿宋" w:eastAsia="仿宋" w:cs="宋体"/>
          <w:bCs/>
          <w:w w:val="104"/>
          <w:kern w:val="0"/>
          <w:sz w:val="30"/>
          <w:szCs w:val="30"/>
        </w:rPr>
        <w:t>…………………</w:t>
      </w:r>
      <w:r>
        <w:rPr>
          <w:rFonts w:ascii="仿宋" w:hAnsi="仿宋" w:eastAsia="仿宋" w:cs="宋体"/>
          <w:bCs/>
          <w:w w:val="102"/>
          <w:kern w:val="0"/>
          <w:sz w:val="30"/>
          <w:szCs w:val="30"/>
        </w:rPr>
        <w:t>……</w:t>
      </w:r>
      <w:r>
        <w:rPr>
          <w:rFonts w:ascii="仿宋_GB2312" w:hAnsi="仿宋_GB2312" w:eastAsia="仿宋_GB2312" w:cs="仿宋_GB2312"/>
          <w:bCs/>
          <w:kern w:val="0"/>
          <w:sz w:val="30"/>
          <w:szCs w:val="30"/>
        </w:rPr>
        <w:t>19</w:t>
      </w:r>
    </w:p>
    <w:p>
      <w:pPr>
        <w:widowControl/>
        <w:spacing w:line="60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rPr>
        <w:t>一、收入支出决算情况说明</w:t>
      </w:r>
      <w:r>
        <w:rPr>
          <w:rFonts w:ascii="仿宋" w:hAnsi="仿宋" w:eastAsia="仿宋" w:cs="宋体"/>
          <w:bCs/>
          <w:kern w:val="0"/>
          <w:sz w:val="30"/>
          <w:szCs w:val="30"/>
        </w:rPr>
        <w:t>…………………………………</w:t>
      </w:r>
      <w:r>
        <w:rPr>
          <w:rFonts w:ascii="仿宋_GB2312" w:hAnsi="仿宋_GB2312" w:eastAsia="仿宋_GB2312" w:cs="仿宋_GB2312"/>
          <w:bCs/>
          <w:kern w:val="0"/>
          <w:sz w:val="30"/>
          <w:szCs w:val="30"/>
        </w:rPr>
        <w:t>19</w:t>
      </w:r>
    </w:p>
    <w:p>
      <w:pPr>
        <w:widowControl/>
        <w:spacing w:line="60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rPr>
        <w:t>二、收入决算情况说明</w:t>
      </w:r>
      <w:r>
        <w:rPr>
          <w:rFonts w:ascii="仿宋" w:hAnsi="仿宋" w:eastAsia="仿宋" w:cs="宋体"/>
          <w:bCs/>
          <w:kern w:val="0"/>
          <w:sz w:val="30"/>
          <w:szCs w:val="30"/>
        </w:rPr>
        <w:t>………………………………………19</w:t>
      </w:r>
    </w:p>
    <w:p>
      <w:pPr>
        <w:widowControl/>
        <w:spacing w:line="60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rPr>
        <w:t>三、支出决算情况说明</w:t>
      </w:r>
      <w:r>
        <w:rPr>
          <w:rFonts w:ascii="仿宋" w:hAnsi="仿宋" w:eastAsia="仿宋" w:cs="宋体"/>
          <w:bCs/>
          <w:kern w:val="0"/>
          <w:sz w:val="30"/>
          <w:szCs w:val="30"/>
        </w:rPr>
        <w:t>………………………………………19</w:t>
      </w:r>
    </w:p>
    <w:p>
      <w:pPr>
        <w:widowControl/>
        <w:spacing w:line="60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w:t>
      </w:r>
      <w:r>
        <w:rPr>
          <w:rFonts w:hint="eastAsia" w:ascii="仿宋_GB2312" w:hAnsi="仿宋_GB2312" w:eastAsia="仿宋_GB2312" w:cs="仿宋_GB2312"/>
          <w:bCs/>
          <w:kern w:val="0"/>
          <w:sz w:val="30"/>
          <w:szCs w:val="30"/>
        </w:rPr>
        <w:t>四、财政拨款收入支出决算总体情况说明</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2</w:t>
      </w:r>
      <w:r>
        <w:rPr>
          <w:rFonts w:ascii="仿宋_GB2312" w:hAnsi="仿宋_GB2312" w:eastAsia="仿宋_GB2312" w:cs="仿宋_GB2312"/>
          <w:bCs/>
          <w:kern w:val="0"/>
          <w:sz w:val="30"/>
          <w:szCs w:val="30"/>
        </w:rPr>
        <w:t>0</w:t>
      </w:r>
    </w:p>
    <w:p>
      <w:pPr>
        <w:widowControl/>
        <w:spacing w:line="600" w:lineRule="exact"/>
        <w:ind w:firstLine="600"/>
        <w:rPr>
          <w:rFonts w:ascii="仿宋_GB2312" w:hAnsi="仿宋_GB2312" w:eastAsia="仿宋_GB2312" w:cs="仿宋_GB2312"/>
          <w:bCs/>
          <w:kern w:val="0"/>
          <w:sz w:val="30"/>
          <w:szCs w:val="30"/>
        </w:rPr>
      </w:pPr>
      <w:r>
        <w:rPr>
          <w:rFonts w:hint="eastAsia" w:ascii="仿宋_GB2312" w:hAnsi="仿宋_GB2312" w:eastAsia="仿宋_GB2312" w:cs="仿宋_GB2312"/>
          <w:bCs/>
          <w:kern w:val="0"/>
          <w:sz w:val="30"/>
          <w:szCs w:val="30"/>
        </w:rPr>
        <w:t>五、一般公共预算财政拨款支出决算情况说明</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2</w:t>
      </w:r>
      <w:r>
        <w:rPr>
          <w:rFonts w:ascii="仿宋_GB2312" w:hAnsi="仿宋_GB2312" w:eastAsia="仿宋_GB2312" w:cs="仿宋_GB2312"/>
          <w:bCs/>
          <w:kern w:val="0"/>
          <w:sz w:val="30"/>
          <w:szCs w:val="30"/>
        </w:rPr>
        <w:t>0</w:t>
      </w:r>
    </w:p>
    <w:p>
      <w:pPr>
        <w:pStyle w:val="2"/>
        <w:tabs>
          <w:tab w:val="left" w:pos="528"/>
        </w:tabs>
        <w:spacing w:line="600" w:lineRule="exact"/>
        <w:ind w:firstLine="600" w:firstLineChars="200"/>
        <w:rPr>
          <w:rFonts w:ascii="CESI仿宋-GB2312" w:hAnsi="CESI仿宋-GB2312" w:eastAsia="CESI仿宋-GB2312" w:cs="CESI仿宋-GB2312"/>
          <w:sz w:val="30"/>
          <w:szCs w:val="30"/>
        </w:rPr>
      </w:pPr>
      <w:r>
        <w:rPr>
          <w:rFonts w:hint="eastAsia" w:ascii="CESI仿宋-GB2312" w:hAnsi="CESI仿宋-GB2312" w:eastAsia="CESI仿宋-GB2312" w:cs="CESI仿宋-GB2312"/>
          <w:sz w:val="30"/>
          <w:szCs w:val="30"/>
        </w:rPr>
        <w:t>六、一般公共预算财政拨款基本支出决算情况说明</w:t>
      </w:r>
    </w:p>
    <w:p>
      <w:pPr>
        <w:widowControl/>
        <w:spacing w:line="600" w:lineRule="exact"/>
        <w:ind w:left="1200" w:hanging="1200" w:hangingChars="400"/>
        <w:rPr>
          <w:rFonts w:ascii="仿宋" w:hAnsi="仿宋" w:eastAsia="仿宋" w:cs="宋体"/>
          <w:bCs/>
          <w:w w:val="92"/>
          <w:kern w:val="0"/>
          <w:sz w:val="30"/>
          <w:szCs w:val="30"/>
        </w:rPr>
      </w:pPr>
      <w:r>
        <w:rPr>
          <w:rFonts w:hint="eastAsia" w:ascii="仿宋" w:hAnsi="仿宋" w:eastAsia="仿宋" w:cs="宋体"/>
          <w:bCs/>
          <w:kern w:val="0"/>
          <w:sz w:val="30"/>
          <w:szCs w:val="30"/>
        </w:rPr>
        <w:t xml:space="preserve">    七、</w:t>
      </w:r>
      <w:r>
        <w:rPr>
          <w:rFonts w:hint="eastAsia" w:ascii="仿宋_GB2312" w:hAnsi="仿宋_GB2312" w:eastAsia="仿宋_GB2312" w:cs="仿宋_GB2312"/>
          <w:bCs/>
          <w:w w:val="92"/>
          <w:kern w:val="0"/>
          <w:sz w:val="30"/>
          <w:szCs w:val="30"/>
        </w:rPr>
        <w:t>一般公共预算财政拨款“三公”经费支出决算情况说明</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2</w:t>
      </w:r>
      <w:r>
        <w:rPr>
          <w:rFonts w:ascii="仿宋_GB2312" w:hAnsi="仿宋_GB2312" w:eastAsia="仿宋_GB2312" w:cs="仿宋_GB2312"/>
          <w:bCs/>
          <w:kern w:val="0"/>
          <w:sz w:val="30"/>
          <w:szCs w:val="30"/>
        </w:rPr>
        <w:t>0</w:t>
      </w:r>
    </w:p>
    <w:p>
      <w:pPr>
        <w:widowControl/>
        <w:spacing w:line="600" w:lineRule="exact"/>
        <w:ind w:firstLine="600"/>
      </w:pPr>
      <w:r>
        <w:rPr>
          <w:rFonts w:hint="eastAsia" w:ascii="仿宋_GB2312" w:hAnsi="仿宋_GB2312" w:eastAsia="仿宋_GB2312" w:cs="仿宋_GB2312"/>
          <w:bCs/>
          <w:kern w:val="0"/>
          <w:sz w:val="30"/>
          <w:szCs w:val="30"/>
        </w:rPr>
        <w:t>八、政府性基金预算财政拨款收支决算情况说明</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2</w:t>
      </w:r>
      <w:r>
        <w:rPr>
          <w:rFonts w:ascii="仿宋_GB2312" w:hAnsi="仿宋_GB2312" w:eastAsia="仿宋_GB2312" w:cs="仿宋_GB2312"/>
          <w:bCs/>
          <w:kern w:val="0"/>
          <w:sz w:val="30"/>
          <w:szCs w:val="30"/>
        </w:rPr>
        <w:t>0</w:t>
      </w:r>
    </w:p>
    <w:p>
      <w:pPr>
        <w:widowControl/>
        <w:spacing w:line="600" w:lineRule="exact"/>
        <w:rPr>
          <w:rFonts w:ascii="仿宋" w:hAnsi="仿宋" w:eastAsia="仿宋" w:cs="宋体"/>
          <w:bCs/>
          <w:kern w:val="0"/>
          <w:sz w:val="30"/>
          <w:szCs w:val="30"/>
        </w:rPr>
      </w:pPr>
      <w:r>
        <w:rPr>
          <w:rFonts w:hint="eastAsia" w:ascii="仿宋" w:hAnsi="仿宋" w:eastAsia="仿宋" w:cs="宋体"/>
          <w:bCs/>
          <w:kern w:val="0"/>
          <w:sz w:val="30"/>
          <w:szCs w:val="30"/>
        </w:rPr>
        <w:t xml:space="preserve">    九</w:t>
      </w:r>
      <w:r>
        <w:rPr>
          <w:rFonts w:hint="eastAsia" w:ascii="仿宋_GB2312" w:hAnsi="仿宋_GB2312" w:eastAsia="仿宋_GB2312" w:cs="仿宋_GB2312"/>
          <w:bCs/>
          <w:kern w:val="0"/>
          <w:sz w:val="30"/>
          <w:szCs w:val="30"/>
        </w:rPr>
        <w:t>、其他重要事项情况说明</w:t>
      </w:r>
      <w:r>
        <w:rPr>
          <w:rFonts w:ascii="仿宋" w:hAnsi="仿宋" w:eastAsia="仿宋" w:cs="宋体"/>
          <w:bCs/>
          <w:kern w:val="0"/>
          <w:sz w:val="30"/>
          <w:szCs w:val="30"/>
        </w:rPr>
        <w:t>…………………………………</w:t>
      </w:r>
      <w:r>
        <w:rPr>
          <w:rFonts w:hint="eastAsia" w:ascii="仿宋_GB2312" w:hAnsi="仿宋_GB2312" w:eastAsia="仿宋_GB2312" w:cs="仿宋_GB2312"/>
          <w:bCs/>
          <w:kern w:val="0"/>
          <w:sz w:val="30"/>
          <w:szCs w:val="30"/>
        </w:rPr>
        <w:t>2</w:t>
      </w:r>
      <w:r>
        <w:rPr>
          <w:rFonts w:ascii="仿宋_GB2312" w:hAnsi="仿宋_GB2312" w:eastAsia="仿宋_GB2312" w:cs="仿宋_GB2312"/>
          <w:bCs/>
          <w:kern w:val="0"/>
          <w:sz w:val="30"/>
          <w:szCs w:val="30"/>
        </w:rPr>
        <w:t>0</w:t>
      </w:r>
    </w:p>
    <w:p>
      <w:pPr>
        <w:widowControl/>
        <w:spacing w:line="560" w:lineRule="exact"/>
        <w:rPr>
          <w:rFonts w:ascii="仿宋" w:hAnsi="仿宋" w:eastAsia="仿宋" w:cs="宋体"/>
          <w:bCs/>
          <w:kern w:val="0"/>
          <w:sz w:val="30"/>
          <w:szCs w:val="30"/>
        </w:rPr>
        <w:sectPr>
          <w:pgSz w:w="11906" w:h="16838"/>
          <w:pgMar w:top="1440" w:right="1800" w:bottom="1440" w:left="1800" w:header="851" w:footer="992" w:gutter="0"/>
          <w:cols w:space="720" w:num="1"/>
          <w:titlePg/>
          <w:docGrid w:type="lines" w:linePitch="312" w:charSpace="0"/>
        </w:sectPr>
      </w:pPr>
      <w:r>
        <w:rPr>
          <w:rFonts w:hint="eastAsia" w:ascii="黑体" w:hAnsi="黑体" w:eastAsia="黑体" w:cs="宋体"/>
          <w:bCs/>
          <w:kern w:val="0"/>
          <w:sz w:val="30"/>
          <w:szCs w:val="30"/>
        </w:rPr>
        <w:t>第四部分 名词解释</w:t>
      </w:r>
      <w:r>
        <w:rPr>
          <w:rFonts w:ascii="仿宋" w:hAnsi="仿宋" w:eastAsia="仿宋" w:cs="宋体"/>
          <w:bCs/>
          <w:kern w:val="0"/>
          <w:sz w:val="30"/>
          <w:szCs w:val="30"/>
        </w:rPr>
        <w:t>………………………………………………</w:t>
      </w:r>
      <w:r>
        <w:rPr>
          <w:rFonts w:ascii="仿宋_GB2312" w:hAnsi="仿宋_GB2312" w:eastAsia="仿宋_GB2312" w:cs="仿宋_GB2312"/>
          <w:bCs/>
          <w:kern w:val="0"/>
          <w:sz w:val="30"/>
          <w:szCs w:val="30"/>
        </w:rPr>
        <w:t>22</w:t>
      </w:r>
    </w:p>
    <w:p>
      <w:pPr>
        <w:widowControl/>
        <w:spacing w:line="560" w:lineRule="exact"/>
        <w:jc w:val="center"/>
        <w:rPr>
          <w:rFonts w:ascii="黑体" w:hAnsi="黑体" w:eastAsia="黑体" w:cs="宋体"/>
          <w:bCs/>
          <w:kern w:val="0"/>
          <w:sz w:val="32"/>
          <w:szCs w:val="32"/>
        </w:rPr>
      </w:pPr>
      <w:r>
        <w:rPr>
          <w:rFonts w:hint="eastAsia" w:ascii="黑体" w:hAnsi="黑体" w:eastAsia="黑体" w:cs="宋体"/>
          <w:bCs/>
          <w:kern w:val="0"/>
          <w:sz w:val="32"/>
          <w:szCs w:val="32"/>
        </w:rPr>
        <w:t>第一</w:t>
      </w:r>
      <w:r>
        <w:rPr>
          <w:rFonts w:ascii="黑体" w:hAnsi="黑体" w:eastAsia="黑体" w:cs="宋体"/>
          <w:bCs/>
          <w:kern w:val="0"/>
          <w:sz w:val="32"/>
          <w:szCs w:val="32"/>
        </w:rPr>
        <w:t>部分</w:t>
      </w:r>
      <w:r>
        <w:rPr>
          <w:rFonts w:hint="eastAsia" w:ascii="黑体" w:hAnsi="黑体" w:eastAsia="黑体" w:cs="宋体"/>
          <w:bCs/>
          <w:kern w:val="0"/>
          <w:sz w:val="32"/>
          <w:szCs w:val="32"/>
        </w:rPr>
        <w:t xml:space="preserve">   概况</w:t>
      </w:r>
    </w:p>
    <w:p>
      <w:pPr>
        <w:widowControl/>
        <w:spacing w:line="560" w:lineRule="exact"/>
        <w:ind w:left="1199" w:leftChars="571" w:firstLine="2550" w:firstLineChars="850"/>
        <w:rPr>
          <w:rFonts w:ascii="黑体" w:hAnsi="黑体" w:eastAsia="黑体" w:cs="宋体"/>
          <w:bCs/>
          <w:kern w:val="0"/>
          <w:sz w:val="30"/>
          <w:szCs w:val="30"/>
        </w:rPr>
      </w:pPr>
    </w:p>
    <w:p>
      <w:pPr>
        <w:widowControl/>
        <w:spacing w:line="560" w:lineRule="exact"/>
        <w:ind w:firstLine="640" w:firstLineChars="200"/>
        <w:rPr>
          <w:rFonts w:ascii="黑体" w:hAnsi="黑体" w:eastAsia="黑体" w:cs="黑体"/>
          <w:bCs/>
          <w:kern w:val="0"/>
          <w:sz w:val="32"/>
          <w:szCs w:val="32"/>
        </w:rPr>
      </w:pPr>
      <w:r>
        <w:rPr>
          <w:rFonts w:hint="eastAsia" w:ascii="黑体" w:hAnsi="黑体" w:eastAsia="黑体" w:cs="黑体"/>
          <w:bCs/>
          <w:kern w:val="0"/>
          <w:sz w:val="32"/>
          <w:szCs w:val="32"/>
        </w:rPr>
        <w:t>一、本单位职责</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大同市妇女儿童教育中心一个以学前教育为主同时承担全市妇女再就业培训和青少年校外活动基地的差额补助事业单位，负责全市妇女儿童的教育培训工作，开展适合妇女儿童特点的各项活动等、大同市妇女儿童教育中心幼儿园是以幼儿教育为主，而幼儿教育是基础教育的重要组成部分，是我国学校教育和终身教育的奠基阶段。市委市政府注重为幼儿提供健康、丰富的生活和活动环境，满足他们多方面发展的需要，使他们在快乐的童年生活中获得有益于身心发展的经验；注重尊重幼儿的人格和权利，尊重幼儿身心发展的规律和学习特点，以游戏为基本活动，保教并重，关注个别差异，促进每个幼儿富有个性地发展的教育。</w:t>
      </w:r>
    </w:p>
    <w:p>
      <w:pPr>
        <w:widowControl/>
        <w:spacing w:line="560" w:lineRule="exact"/>
        <w:ind w:firstLine="640" w:firstLineChars="200"/>
        <w:rPr>
          <w:rFonts w:ascii="黑体" w:hAnsi="黑体" w:eastAsia="黑体" w:cs="黑体"/>
          <w:bCs/>
          <w:kern w:val="0"/>
          <w:sz w:val="32"/>
          <w:szCs w:val="32"/>
        </w:rPr>
      </w:pPr>
      <w:r>
        <w:rPr>
          <w:rFonts w:hint="eastAsia" w:ascii="黑体" w:hAnsi="黑体" w:eastAsia="黑体" w:cs="黑体"/>
          <w:bCs/>
          <w:kern w:val="0"/>
          <w:sz w:val="32"/>
          <w:szCs w:val="32"/>
        </w:rPr>
        <w:t>二、机构设置情况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大同市妇女儿童教育中心，科级事业单位，隶属市妇联，事业编制16名.现有正式职工4</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人，其中在职职工3</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人，退休职工1</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人。内部设有幼儿园、办公室、妇女双创平台。</w:t>
      </w:r>
    </w:p>
    <w:p>
      <w:pPr>
        <w:widowControl/>
        <w:spacing w:line="560" w:lineRule="exact"/>
        <w:rPr>
          <w:rFonts w:ascii="黑体" w:hAnsi="黑体" w:eastAsia="黑体" w:cs="黑体"/>
          <w:bCs/>
          <w:kern w:val="0"/>
          <w:sz w:val="32"/>
          <w:szCs w:val="32"/>
        </w:rPr>
      </w:pPr>
    </w:p>
    <w:p>
      <w:pPr>
        <w:pStyle w:val="2"/>
      </w:pPr>
    </w:p>
    <w:p>
      <w:pPr>
        <w:pStyle w:val="3"/>
      </w:pPr>
    </w:p>
    <w:p>
      <w:pPr>
        <w:pStyle w:val="3"/>
      </w:pPr>
    </w:p>
    <w:p>
      <w:pPr>
        <w:pStyle w:val="3"/>
      </w:pPr>
    </w:p>
    <w:p>
      <w:pPr>
        <w:pStyle w:val="3"/>
      </w:pPr>
    </w:p>
    <w:p>
      <w:pPr>
        <w:widowControl/>
        <w:spacing w:line="560" w:lineRule="exact"/>
        <w:jc w:val="center"/>
        <w:rPr>
          <w:rFonts w:ascii="黑体" w:hAnsi="黑体" w:eastAsia="黑体" w:cs="黑体"/>
          <w:bCs/>
          <w:kern w:val="0"/>
          <w:sz w:val="32"/>
          <w:szCs w:val="32"/>
        </w:rPr>
      </w:pPr>
      <w:r>
        <w:rPr>
          <w:rFonts w:hint="eastAsia" w:ascii="黑体" w:hAnsi="黑体" w:eastAsia="黑体" w:cs="黑体"/>
          <w:bCs/>
          <w:kern w:val="0"/>
          <w:sz w:val="32"/>
          <w:szCs w:val="32"/>
        </w:rPr>
        <w:t>第二部分   20</w:t>
      </w:r>
      <w:r>
        <w:rPr>
          <w:rFonts w:ascii="黑体" w:hAnsi="黑体" w:eastAsia="黑体" w:cs="黑体"/>
          <w:bCs/>
          <w:kern w:val="0"/>
          <w:sz w:val="32"/>
          <w:szCs w:val="32"/>
          <w:lang w:val="en"/>
        </w:rPr>
        <w:t>2</w:t>
      </w:r>
      <w:r>
        <w:rPr>
          <w:rFonts w:hint="eastAsia" w:ascii="黑体" w:hAnsi="黑体" w:eastAsia="黑体" w:cs="黑体"/>
          <w:bCs/>
          <w:kern w:val="0"/>
          <w:sz w:val="32"/>
          <w:szCs w:val="32"/>
        </w:rPr>
        <w:t>1年度单位决算报表</w:t>
      </w:r>
    </w:p>
    <w:p>
      <w:pPr>
        <w:widowControl/>
        <w:spacing w:line="560" w:lineRule="exact"/>
        <w:ind w:firstLine="640" w:firstLineChars="200"/>
        <w:rPr>
          <w:rFonts w:ascii="仿宋" w:hAnsi="仿宋" w:eastAsia="仿宋" w:cs="仿宋"/>
          <w:bCs/>
          <w:kern w:val="0"/>
          <w:sz w:val="32"/>
          <w:szCs w:val="32"/>
        </w:rPr>
      </w:pPr>
    </w:p>
    <w:p>
      <w:pPr>
        <w:widowControl/>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一、2021年大同市妇女儿童教育中心收入支出决算总表</w:t>
      </w:r>
    </w:p>
    <w:p>
      <w:pPr>
        <w:widowControl/>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二、</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1年大同市妇女儿童教育中心收入决算表</w:t>
      </w:r>
    </w:p>
    <w:p>
      <w:pPr>
        <w:widowControl/>
        <w:spacing w:line="560" w:lineRule="exact"/>
        <w:ind w:firstLine="640" w:firstLine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三</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1年大同市妇女儿童教育中心支出决算表</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四</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 xml:space="preserve">1年大同市妇女儿童教育中心财政拨款收入支出决算总表   </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 xml:space="preserve">1年大同市妇女儿童教育中心一般公共预算财政拨款支出决算表（一） </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六</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1年大同市妇女儿童教育中心一般公共预算财政拨款支出决算表（二）</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七</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1年大同市妇女儿童教育中心一般公共预算财政拨款“三公”经费支出决算表</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
        </w:rPr>
        <w:t>八</w:t>
      </w:r>
      <w:r>
        <w:rPr>
          <w:rFonts w:hint="eastAsia" w:ascii="仿宋_GB2312" w:hAnsi="仿宋_GB2312" w:eastAsia="仿宋_GB2312" w:cs="仿宋_GB2312"/>
          <w:bCs/>
          <w:kern w:val="0"/>
          <w:sz w:val="32"/>
          <w:szCs w:val="32"/>
        </w:rPr>
        <w:t>、20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 xml:space="preserve">1年大同市妇女儿童教育中心政府性基金预算财政拨款收入支出决算表   </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九、20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w:t>
      </w:r>
      <w:r>
        <w:rPr>
          <w:rFonts w:hint="eastAsia" w:ascii="仿宋_GB2312" w:hAnsi="仿宋_GB2312" w:eastAsia="仿宋_GB2312" w:cs="仿宋_GB2312"/>
          <w:bCs/>
          <w:kern w:val="0"/>
          <w:sz w:val="32"/>
          <w:szCs w:val="32"/>
          <w:lang w:val="en"/>
        </w:rPr>
        <w:t>国有资本经营预算财政拨款支出决算表</w:t>
      </w:r>
      <w:r>
        <w:rPr>
          <w:rFonts w:hint="eastAsia" w:ascii="仿宋_GB2312" w:hAnsi="仿宋_GB2312" w:eastAsia="仿宋_GB2312" w:cs="仿宋_GB2312"/>
          <w:bCs/>
          <w:kern w:val="0"/>
          <w:sz w:val="32"/>
          <w:szCs w:val="32"/>
        </w:rPr>
        <w:t xml:space="preserve">    </w:t>
      </w:r>
    </w:p>
    <w:p>
      <w:pPr>
        <w:widowControl/>
        <w:spacing w:line="560" w:lineRule="exact"/>
        <w:ind w:left="1278" w:leftChars="304" w:hanging="640" w:hangingChars="200"/>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十、20</w:t>
      </w:r>
      <w:r>
        <w:rPr>
          <w:rFonts w:hint="eastAsia" w:ascii="仿宋_GB2312" w:hAnsi="仿宋_GB2312" w:eastAsia="仿宋_GB2312" w:cs="仿宋_GB2312"/>
          <w:bCs/>
          <w:kern w:val="0"/>
          <w:sz w:val="32"/>
          <w:szCs w:val="32"/>
          <w:lang w:val="en"/>
        </w:rPr>
        <w:t>2</w:t>
      </w:r>
      <w:r>
        <w:rPr>
          <w:rFonts w:hint="eastAsia" w:ascii="仿宋_GB2312" w:hAnsi="仿宋_GB2312" w:eastAsia="仿宋_GB2312" w:cs="仿宋_GB2312"/>
          <w:bCs/>
          <w:kern w:val="0"/>
          <w:sz w:val="32"/>
          <w:szCs w:val="32"/>
        </w:rPr>
        <w:t>1年大同市妇女儿童教育中心</w:t>
      </w:r>
      <w:r>
        <w:rPr>
          <w:rFonts w:hint="eastAsia" w:ascii="仿宋_GB2312" w:hAnsi="仿宋_GB2312" w:eastAsia="仿宋_GB2312" w:cs="仿宋_GB2312"/>
          <w:bCs/>
          <w:kern w:val="0"/>
          <w:sz w:val="32"/>
          <w:szCs w:val="32"/>
          <w:lang w:val="en"/>
        </w:rPr>
        <w:t>单位</w:t>
      </w:r>
      <w:r>
        <w:rPr>
          <w:rFonts w:hint="eastAsia" w:ascii="仿宋_GB2312" w:hAnsi="仿宋_GB2312" w:eastAsia="仿宋_GB2312" w:cs="仿宋_GB2312"/>
          <w:bCs/>
          <w:kern w:val="0"/>
          <w:sz w:val="32"/>
          <w:szCs w:val="32"/>
        </w:rPr>
        <w:t>决算公开相关信息统计表</w:t>
      </w:r>
    </w:p>
    <w:p>
      <w:pPr>
        <w:pStyle w:val="3"/>
        <w:spacing w:line="560" w:lineRule="exact"/>
      </w:pPr>
    </w:p>
    <w:p>
      <w:pPr>
        <w:pStyle w:val="3"/>
        <w:spacing w:line="560" w:lineRule="exact"/>
        <w:ind w:left="0" w:leftChars="0"/>
      </w:pPr>
    </w:p>
    <w:p>
      <w:pPr>
        <w:pStyle w:val="3"/>
        <w:spacing w:line="560" w:lineRule="exact"/>
        <w:ind w:left="0" w:leftChars="0"/>
        <w:rPr>
          <w:rFonts w:ascii="黑体" w:hAnsi="黑体" w:eastAsia="黑体" w:cs="黑体"/>
          <w:sz w:val="32"/>
          <w:szCs w:val="32"/>
        </w:rPr>
        <w:sectPr>
          <w:pgSz w:w="11906" w:h="16838"/>
          <w:pgMar w:top="1440" w:right="1800" w:bottom="1440" w:left="1800" w:header="851" w:footer="992" w:gutter="0"/>
          <w:cols w:space="720" w:num="1"/>
          <w:docGrid w:type="lines" w:linePitch="312" w:charSpace="0"/>
        </w:sectPr>
      </w:pPr>
    </w:p>
    <w:tbl>
      <w:tblPr>
        <w:tblStyle w:val="6"/>
        <w:tblW w:w="10672" w:type="dxa"/>
        <w:tblInd w:w="93" w:type="dxa"/>
        <w:tblLayout w:type="fixed"/>
        <w:tblCellMar>
          <w:top w:w="0" w:type="dxa"/>
          <w:left w:w="108" w:type="dxa"/>
          <w:bottom w:w="0" w:type="dxa"/>
          <w:right w:w="108" w:type="dxa"/>
        </w:tblCellMar>
      </w:tblPr>
      <w:tblGrid>
        <w:gridCol w:w="3204"/>
        <w:gridCol w:w="737"/>
        <w:gridCol w:w="1751"/>
        <w:gridCol w:w="2775"/>
        <w:gridCol w:w="709"/>
        <w:gridCol w:w="1496"/>
      </w:tblGrid>
      <w:tr>
        <w:tblPrEx>
          <w:tblCellMar>
            <w:top w:w="0" w:type="dxa"/>
            <w:left w:w="108" w:type="dxa"/>
            <w:bottom w:w="0" w:type="dxa"/>
            <w:right w:w="108" w:type="dxa"/>
          </w:tblCellMar>
        </w:tblPrEx>
        <w:trPr>
          <w:trHeight w:val="621" w:hRule="atLeast"/>
        </w:trPr>
        <w:tc>
          <w:tcPr>
            <w:tcW w:w="10672" w:type="dxa"/>
            <w:gridSpan w:val="6"/>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收入支出决算总表</w:t>
            </w:r>
          </w:p>
        </w:tc>
      </w:tr>
      <w:tr>
        <w:tblPrEx>
          <w:tblCellMar>
            <w:top w:w="0" w:type="dxa"/>
            <w:left w:w="108" w:type="dxa"/>
            <w:bottom w:w="0" w:type="dxa"/>
            <w:right w:w="108" w:type="dxa"/>
          </w:tblCellMar>
        </w:tblPrEx>
        <w:trPr>
          <w:trHeight w:val="311" w:hRule="atLeast"/>
        </w:trPr>
        <w:tc>
          <w:tcPr>
            <w:tcW w:w="3204" w:type="dxa"/>
            <w:tcBorders>
              <w:top w:val="nil"/>
              <w:left w:val="nil"/>
              <w:bottom w:val="nil"/>
              <w:right w:val="nil"/>
            </w:tcBorders>
            <w:noWrap/>
            <w:vAlign w:val="bottom"/>
          </w:tcPr>
          <w:p>
            <w:pPr>
              <w:rPr>
                <w:rFonts w:ascii="黑体" w:hAnsi="黑体" w:eastAsia="黑体" w:cs="黑体"/>
                <w:color w:val="000000"/>
                <w:szCs w:val="21"/>
              </w:rPr>
            </w:pPr>
          </w:p>
        </w:tc>
        <w:tc>
          <w:tcPr>
            <w:tcW w:w="737" w:type="dxa"/>
            <w:tcBorders>
              <w:top w:val="nil"/>
              <w:left w:val="nil"/>
              <w:bottom w:val="nil"/>
              <w:right w:val="nil"/>
            </w:tcBorders>
            <w:noWrap/>
            <w:vAlign w:val="bottom"/>
          </w:tcPr>
          <w:p>
            <w:pPr>
              <w:rPr>
                <w:rFonts w:ascii="黑体" w:hAnsi="黑体" w:eastAsia="黑体" w:cs="黑体"/>
                <w:color w:val="000000"/>
                <w:szCs w:val="21"/>
              </w:rPr>
            </w:pPr>
          </w:p>
        </w:tc>
        <w:tc>
          <w:tcPr>
            <w:tcW w:w="1751" w:type="dxa"/>
            <w:tcBorders>
              <w:top w:val="nil"/>
              <w:left w:val="nil"/>
              <w:bottom w:val="nil"/>
              <w:right w:val="nil"/>
            </w:tcBorders>
            <w:noWrap/>
            <w:vAlign w:val="bottom"/>
          </w:tcPr>
          <w:p>
            <w:pPr>
              <w:rPr>
                <w:rFonts w:ascii="黑体" w:hAnsi="黑体" w:eastAsia="黑体" w:cs="黑体"/>
                <w:color w:val="000000"/>
                <w:szCs w:val="21"/>
              </w:rPr>
            </w:pPr>
          </w:p>
        </w:tc>
        <w:tc>
          <w:tcPr>
            <w:tcW w:w="2775" w:type="dxa"/>
            <w:tcBorders>
              <w:top w:val="nil"/>
              <w:left w:val="nil"/>
              <w:bottom w:val="nil"/>
              <w:right w:val="nil"/>
            </w:tcBorders>
            <w:noWrap/>
            <w:vAlign w:val="bottom"/>
          </w:tcPr>
          <w:p>
            <w:pPr>
              <w:rPr>
                <w:rFonts w:ascii="黑体" w:hAnsi="黑体" w:eastAsia="黑体" w:cs="黑体"/>
                <w:color w:val="000000"/>
                <w:szCs w:val="21"/>
              </w:rPr>
            </w:pPr>
          </w:p>
        </w:tc>
        <w:tc>
          <w:tcPr>
            <w:tcW w:w="709" w:type="dxa"/>
            <w:tcBorders>
              <w:top w:val="nil"/>
              <w:left w:val="nil"/>
              <w:bottom w:val="nil"/>
              <w:right w:val="nil"/>
            </w:tcBorders>
            <w:noWrap/>
            <w:vAlign w:val="bottom"/>
          </w:tcPr>
          <w:p>
            <w:pPr>
              <w:rPr>
                <w:rFonts w:ascii="黑体" w:hAnsi="黑体" w:eastAsia="黑体" w:cs="黑体"/>
                <w:color w:val="000000"/>
                <w:szCs w:val="21"/>
              </w:rPr>
            </w:pPr>
          </w:p>
        </w:tc>
        <w:tc>
          <w:tcPr>
            <w:tcW w:w="1496" w:type="dxa"/>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公开01表</w:t>
            </w:r>
          </w:p>
        </w:tc>
      </w:tr>
      <w:tr>
        <w:tblPrEx>
          <w:tblCellMar>
            <w:top w:w="0" w:type="dxa"/>
            <w:left w:w="108" w:type="dxa"/>
            <w:bottom w:w="0" w:type="dxa"/>
            <w:right w:w="108" w:type="dxa"/>
          </w:tblCellMar>
        </w:tblPrEx>
        <w:trPr>
          <w:trHeight w:val="311" w:hRule="atLeast"/>
        </w:trPr>
        <w:tc>
          <w:tcPr>
            <w:tcW w:w="3204"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737" w:type="dxa"/>
            <w:tcBorders>
              <w:top w:val="nil"/>
              <w:left w:val="nil"/>
              <w:bottom w:val="nil"/>
              <w:right w:val="nil"/>
            </w:tcBorders>
            <w:noWrap/>
            <w:vAlign w:val="bottom"/>
          </w:tcPr>
          <w:p>
            <w:pPr>
              <w:rPr>
                <w:rFonts w:ascii="黑体" w:hAnsi="黑体" w:eastAsia="黑体" w:cs="黑体"/>
                <w:color w:val="000000"/>
                <w:szCs w:val="21"/>
              </w:rPr>
            </w:pPr>
          </w:p>
        </w:tc>
        <w:tc>
          <w:tcPr>
            <w:tcW w:w="1751" w:type="dxa"/>
            <w:tcBorders>
              <w:top w:val="nil"/>
              <w:left w:val="nil"/>
              <w:bottom w:val="nil"/>
              <w:right w:val="nil"/>
            </w:tcBorders>
            <w:noWrap/>
            <w:vAlign w:val="bottom"/>
          </w:tcPr>
          <w:p>
            <w:pPr>
              <w:rPr>
                <w:rFonts w:ascii="黑体" w:hAnsi="黑体" w:eastAsia="黑体" w:cs="黑体"/>
                <w:color w:val="000000"/>
                <w:szCs w:val="21"/>
              </w:rPr>
            </w:pPr>
          </w:p>
        </w:tc>
        <w:tc>
          <w:tcPr>
            <w:tcW w:w="2775" w:type="dxa"/>
            <w:tcBorders>
              <w:top w:val="nil"/>
              <w:left w:val="nil"/>
              <w:bottom w:val="nil"/>
              <w:right w:val="nil"/>
            </w:tcBorders>
            <w:noWrap/>
            <w:vAlign w:val="bottom"/>
          </w:tcPr>
          <w:p>
            <w:pPr>
              <w:rPr>
                <w:rFonts w:ascii="黑体" w:hAnsi="黑体" w:eastAsia="黑体" w:cs="黑体"/>
                <w:color w:val="000000"/>
                <w:szCs w:val="21"/>
              </w:rPr>
            </w:pPr>
          </w:p>
        </w:tc>
        <w:tc>
          <w:tcPr>
            <w:tcW w:w="2205"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457" w:hRule="atLeast"/>
        </w:trPr>
        <w:tc>
          <w:tcPr>
            <w:tcW w:w="5692"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收入</w:t>
            </w:r>
          </w:p>
        </w:tc>
        <w:tc>
          <w:tcPr>
            <w:tcW w:w="4980" w:type="dxa"/>
            <w:gridSpan w:val="3"/>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支出</w:t>
            </w:r>
          </w:p>
        </w:tc>
      </w:tr>
      <w:tr>
        <w:tblPrEx>
          <w:tblCellMar>
            <w:top w:w="0" w:type="dxa"/>
            <w:left w:w="108" w:type="dxa"/>
            <w:bottom w:w="0" w:type="dxa"/>
            <w:right w:w="108" w:type="dxa"/>
          </w:tblCellMar>
        </w:tblPrEx>
        <w:trPr>
          <w:trHeight w:val="457"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行次</w:t>
            </w:r>
          </w:p>
        </w:tc>
        <w:tc>
          <w:tcPr>
            <w:tcW w:w="1751"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金额</w:t>
            </w: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行次</w:t>
            </w:r>
          </w:p>
        </w:tc>
        <w:tc>
          <w:tcPr>
            <w:tcW w:w="1496"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金额</w:t>
            </w:r>
          </w:p>
        </w:tc>
      </w:tr>
      <w:tr>
        <w:tblPrEx>
          <w:tblCellMar>
            <w:top w:w="0" w:type="dxa"/>
            <w:left w:w="108" w:type="dxa"/>
            <w:bottom w:w="0" w:type="dxa"/>
            <w:right w:w="108" w:type="dxa"/>
          </w:tblCellMar>
        </w:tblPrEx>
        <w:trPr>
          <w:trHeight w:val="39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栏次</w:t>
            </w:r>
          </w:p>
        </w:tc>
        <w:tc>
          <w:tcPr>
            <w:tcW w:w="737" w:type="dxa"/>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751"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栏次</w:t>
            </w:r>
          </w:p>
        </w:tc>
        <w:tc>
          <w:tcPr>
            <w:tcW w:w="709" w:type="dxa"/>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496"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r>
      <w:tr>
        <w:tblPrEx>
          <w:tblCellMar>
            <w:top w:w="0" w:type="dxa"/>
            <w:left w:w="108" w:type="dxa"/>
            <w:bottom w:w="0" w:type="dxa"/>
            <w:right w:w="108" w:type="dxa"/>
          </w:tblCellMar>
        </w:tblPrEx>
        <w:trPr>
          <w:trHeight w:val="457"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一、一般公共预算财政拨款收入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一、一般公共服务支出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32</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1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二、政府性基金预算财政拨款收入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二、外交支出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33</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97"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三、国有资本经营预算财政拨款收入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三、国防支出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34</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6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四、上级补助收入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四、公共安全支出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35</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6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五、事业收入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五、教育支出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36</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r>
      <w:tr>
        <w:tblPrEx>
          <w:tblCellMar>
            <w:top w:w="0" w:type="dxa"/>
            <w:left w:w="108" w:type="dxa"/>
            <w:bottom w:w="0" w:type="dxa"/>
            <w:right w:w="108" w:type="dxa"/>
          </w:tblCellMar>
        </w:tblPrEx>
        <w:trPr>
          <w:trHeight w:val="43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六、经营收入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六、科学技术支出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37</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0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七、附属单位上缴收入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7</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七、文化旅游体育与传媒支出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38</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2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八、其他收入</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8</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八、社会保障和就业支出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39</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6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9</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九、卫生健康支出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40</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5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10</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十、节能环保支出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41</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5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11</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十一、城乡社区支出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42</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57"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12</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十二、农林水支出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43</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13</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十三、交通运输支出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44</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7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14</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十四、资源勘探工业信息等支出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45</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8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15</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十五、商业服务业等支出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46</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16</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十六、金融支出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47</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9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17</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十七、援助其他地区支出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48</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3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18</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十八、自然资源海洋气象等支出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49</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1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19</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十九、住房保障支出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50</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8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20</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二十、粮油物资储备支出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51</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0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21</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二十一、国有资本经营预算支出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52</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832"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22</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二十二、灾害防治及应急管理支出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53</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11" w:hRule="atLeast"/>
        </w:trPr>
        <w:tc>
          <w:tcPr>
            <w:tcW w:w="3204"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23</w:t>
            </w:r>
          </w:p>
        </w:tc>
        <w:tc>
          <w:tcPr>
            <w:tcW w:w="1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二十三、其他支出</w:t>
            </w:r>
          </w:p>
        </w:tc>
        <w:tc>
          <w:tcPr>
            <w:tcW w:w="709"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54</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41" w:hRule="atLeast"/>
        </w:trPr>
        <w:tc>
          <w:tcPr>
            <w:tcW w:w="3204"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b/>
                <w:color w:val="000000"/>
                <w:szCs w:val="21"/>
              </w:rPr>
            </w:pPr>
          </w:p>
        </w:tc>
        <w:tc>
          <w:tcPr>
            <w:tcW w:w="737"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24</w:t>
            </w:r>
          </w:p>
        </w:tc>
        <w:tc>
          <w:tcPr>
            <w:tcW w:w="1751" w:type="dxa"/>
            <w:tcBorders>
              <w:top w:val="single" w:color="000000" w:sz="4" w:space="0"/>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二十四、债务还本支出</w:t>
            </w:r>
          </w:p>
        </w:tc>
        <w:tc>
          <w:tcPr>
            <w:tcW w:w="709"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55</w:t>
            </w:r>
          </w:p>
        </w:tc>
        <w:tc>
          <w:tcPr>
            <w:tcW w:w="1496" w:type="dxa"/>
            <w:tcBorders>
              <w:top w:val="single" w:color="000000" w:sz="4" w:space="0"/>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9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25</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二十五、债务付息支出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56</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772"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26</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二十六、抗疫特别国债安排的支出</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57</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62"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本年收入合计</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27</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本年支出合计</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58</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r>
      <w:tr>
        <w:tblPrEx>
          <w:tblCellMar>
            <w:top w:w="0" w:type="dxa"/>
            <w:left w:w="108" w:type="dxa"/>
            <w:bottom w:w="0" w:type="dxa"/>
            <w:right w:w="108" w:type="dxa"/>
          </w:tblCellMar>
        </w:tblPrEx>
        <w:trPr>
          <w:trHeight w:val="49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使用非财政拨款结余</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28</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结余分配</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59</w:t>
            </w:r>
          </w:p>
        </w:tc>
        <w:tc>
          <w:tcPr>
            <w:tcW w:w="1496"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26"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年初结转和结余</w:t>
            </w: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29</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年末结转和结余</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60</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81"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w:t>
            </w:r>
          </w:p>
        </w:tc>
        <w:tc>
          <w:tcPr>
            <w:tcW w:w="1751"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Cs w:val="21"/>
              </w:rPr>
            </w:pPr>
          </w:p>
        </w:tc>
        <w:tc>
          <w:tcPr>
            <w:tcW w:w="2775" w:type="dxa"/>
            <w:tcBorders>
              <w:top w:val="nil"/>
              <w:left w:val="nil"/>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Cs w:val="21"/>
              </w:rPr>
            </w:pP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61</w:t>
            </w:r>
          </w:p>
        </w:tc>
        <w:tc>
          <w:tcPr>
            <w:tcW w:w="1496" w:type="dxa"/>
            <w:tcBorders>
              <w:top w:val="nil"/>
              <w:left w:val="nil"/>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62" w:hRule="atLeast"/>
        </w:trPr>
        <w:tc>
          <w:tcPr>
            <w:tcW w:w="3204"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总计</w:t>
            </w:r>
          </w:p>
        </w:tc>
        <w:tc>
          <w:tcPr>
            <w:tcW w:w="737" w:type="dxa"/>
            <w:tcBorders>
              <w:top w:val="nil"/>
              <w:left w:val="nil"/>
              <w:bottom w:val="single" w:color="000000" w:sz="8"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31</w:t>
            </w:r>
          </w:p>
        </w:tc>
        <w:tc>
          <w:tcPr>
            <w:tcW w:w="175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277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总计</w:t>
            </w:r>
          </w:p>
        </w:tc>
        <w:tc>
          <w:tcPr>
            <w:tcW w:w="70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62</w:t>
            </w:r>
          </w:p>
        </w:tc>
        <w:tc>
          <w:tcPr>
            <w:tcW w:w="149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r>
      <w:tr>
        <w:tblPrEx>
          <w:tblCellMar>
            <w:top w:w="0" w:type="dxa"/>
            <w:left w:w="108" w:type="dxa"/>
            <w:bottom w:w="0" w:type="dxa"/>
            <w:right w:w="108" w:type="dxa"/>
          </w:tblCellMar>
        </w:tblPrEx>
        <w:trPr>
          <w:trHeight w:val="641" w:hRule="atLeast"/>
        </w:trPr>
        <w:tc>
          <w:tcPr>
            <w:tcW w:w="10672" w:type="dxa"/>
            <w:gridSpan w:val="6"/>
            <w:tcBorders>
              <w:top w:val="nil"/>
              <w:left w:val="nil"/>
              <w:bottom w:val="nil"/>
              <w:right w:val="nil"/>
            </w:tcBorders>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注：本表反映部门本年度的总收支和年末结转结余情况。本套报表金额单位转换时可能存在尾数误差。</w:t>
            </w:r>
          </w:p>
        </w:tc>
      </w:tr>
    </w:tbl>
    <w:p>
      <w:pPr>
        <w:pStyle w:val="3"/>
        <w:spacing w:line="600" w:lineRule="exact"/>
        <w:ind w:left="0" w:leftChars="0"/>
        <w:rPr>
          <w:rFonts w:ascii="黑体" w:hAnsi="黑体" w:eastAsia="黑体" w:cs="黑体"/>
          <w:sz w:val="32"/>
          <w:szCs w:val="32"/>
        </w:rPr>
        <w:sectPr>
          <w:pgSz w:w="11906" w:h="16838"/>
          <w:pgMar w:top="720" w:right="720" w:bottom="720" w:left="720" w:header="851" w:footer="992" w:gutter="0"/>
          <w:cols w:space="720" w:num="1"/>
          <w:docGrid w:type="lines" w:linePitch="312" w:charSpace="0"/>
        </w:sectPr>
      </w:pPr>
    </w:p>
    <w:tbl>
      <w:tblPr>
        <w:tblStyle w:val="6"/>
        <w:tblW w:w="14095" w:type="dxa"/>
        <w:tblInd w:w="93" w:type="dxa"/>
        <w:tblLayout w:type="fixed"/>
        <w:tblCellMar>
          <w:top w:w="0" w:type="dxa"/>
          <w:left w:w="108" w:type="dxa"/>
          <w:bottom w:w="0" w:type="dxa"/>
          <w:right w:w="108" w:type="dxa"/>
        </w:tblCellMar>
      </w:tblPr>
      <w:tblGrid>
        <w:gridCol w:w="3189"/>
        <w:gridCol w:w="240"/>
        <w:gridCol w:w="240"/>
        <w:gridCol w:w="3288"/>
        <w:gridCol w:w="1606"/>
        <w:gridCol w:w="808"/>
        <w:gridCol w:w="709"/>
        <w:gridCol w:w="708"/>
        <w:gridCol w:w="1614"/>
        <w:gridCol w:w="841"/>
        <w:gridCol w:w="838"/>
        <w:gridCol w:w="14"/>
      </w:tblGrid>
      <w:tr>
        <w:tblPrEx>
          <w:tblCellMar>
            <w:top w:w="0" w:type="dxa"/>
            <w:left w:w="108" w:type="dxa"/>
            <w:bottom w:w="0" w:type="dxa"/>
            <w:right w:w="108" w:type="dxa"/>
          </w:tblCellMar>
        </w:tblPrEx>
        <w:trPr>
          <w:gridAfter w:val="1"/>
          <w:wAfter w:w="14" w:type="dxa"/>
          <w:trHeight w:val="324" w:hRule="atLeast"/>
        </w:trPr>
        <w:tc>
          <w:tcPr>
            <w:tcW w:w="14081" w:type="dxa"/>
            <w:gridSpan w:val="11"/>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收入决算表</w:t>
            </w:r>
          </w:p>
        </w:tc>
      </w:tr>
      <w:tr>
        <w:tblPrEx>
          <w:tblCellMar>
            <w:top w:w="0" w:type="dxa"/>
            <w:left w:w="108" w:type="dxa"/>
            <w:bottom w:w="0" w:type="dxa"/>
            <w:right w:w="108" w:type="dxa"/>
          </w:tblCellMar>
        </w:tblPrEx>
        <w:trPr>
          <w:trHeight w:val="213" w:hRule="atLeast"/>
        </w:trPr>
        <w:tc>
          <w:tcPr>
            <w:tcW w:w="3189"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3288" w:type="dxa"/>
            <w:tcBorders>
              <w:top w:val="nil"/>
              <w:left w:val="nil"/>
              <w:bottom w:val="nil"/>
              <w:right w:val="nil"/>
            </w:tcBorders>
            <w:noWrap/>
            <w:vAlign w:val="bottom"/>
          </w:tcPr>
          <w:p>
            <w:pPr>
              <w:rPr>
                <w:rFonts w:ascii="黑体" w:hAnsi="黑体" w:eastAsia="黑体" w:cs="黑体"/>
                <w:color w:val="000000"/>
                <w:szCs w:val="21"/>
              </w:rPr>
            </w:pPr>
          </w:p>
        </w:tc>
        <w:tc>
          <w:tcPr>
            <w:tcW w:w="1606" w:type="dxa"/>
            <w:tcBorders>
              <w:top w:val="nil"/>
              <w:left w:val="nil"/>
              <w:bottom w:val="nil"/>
              <w:right w:val="nil"/>
            </w:tcBorders>
            <w:noWrap/>
            <w:vAlign w:val="bottom"/>
          </w:tcPr>
          <w:p>
            <w:pPr>
              <w:rPr>
                <w:rFonts w:ascii="黑体" w:hAnsi="黑体" w:eastAsia="黑体" w:cs="黑体"/>
                <w:color w:val="000000"/>
                <w:szCs w:val="21"/>
              </w:rPr>
            </w:pPr>
          </w:p>
        </w:tc>
        <w:tc>
          <w:tcPr>
            <w:tcW w:w="808" w:type="dxa"/>
            <w:tcBorders>
              <w:top w:val="nil"/>
              <w:left w:val="nil"/>
              <w:bottom w:val="nil"/>
              <w:right w:val="nil"/>
            </w:tcBorders>
            <w:noWrap/>
            <w:vAlign w:val="bottom"/>
          </w:tcPr>
          <w:p>
            <w:pPr>
              <w:rPr>
                <w:rFonts w:ascii="黑体" w:hAnsi="黑体" w:eastAsia="黑体" w:cs="黑体"/>
                <w:color w:val="000000"/>
                <w:szCs w:val="21"/>
              </w:rPr>
            </w:pPr>
          </w:p>
        </w:tc>
        <w:tc>
          <w:tcPr>
            <w:tcW w:w="709" w:type="dxa"/>
            <w:tcBorders>
              <w:top w:val="nil"/>
              <w:left w:val="nil"/>
              <w:bottom w:val="nil"/>
              <w:right w:val="nil"/>
            </w:tcBorders>
            <w:noWrap/>
            <w:vAlign w:val="bottom"/>
          </w:tcPr>
          <w:p>
            <w:pPr>
              <w:rPr>
                <w:rFonts w:ascii="黑体" w:hAnsi="黑体" w:eastAsia="黑体" w:cs="黑体"/>
                <w:color w:val="000000"/>
                <w:szCs w:val="21"/>
              </w:rPr>
            </w:pPr>
          </w:p>
        </w:tc>
        <w:tc>
          <w:tcPr>
            <w:tcW w:w="708" w:type="dxa"/>
            <w:tcBorders>
              <w:top w:val="nil"/>
              <w:left w:val="nil"/>
              <w:bottom w:val="nil"/>
              <w:right w:val="nil"/>
            </w:tcBorders>
            <w:noWrap/>
            <w:vAlign w:val="bottom"/>
          </w:tcPr>
          <w:p>
            <w:pPr>
              <w:rPr>
                <w:rFonts w:ascii="黑体" w:hAnsi="黑体" w:eastAsia="黑体" w:cs="黑体"/>
                <w:color w:val="000000"/>
                <w:szCs w:val="21"/>
              </w:rPr>
            </w:pPr>
          </w:p>
        </w:tc>
        <w:tc>
          <w:tcPr>
            <w:tcW w:w="3307" w:type="dxa"/>
            <w:gridSpan w:val="4"/>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公开02表</w:t>
            </w:r>
          </w:p>
        </w:tc>
      </w:tr>
      <w:tr>
        <w:tblPrEx>
          <w:tblCellMar>
            <w:top w:w="0" w:type="dxa"/>
            <w:left w:w="108" w:type="dxa"/>
            <w:bottom w:w="0" w:type="dxa"/>
            <w:right w:w="108" w:type="dxa"/>
          </w:tblCellMar>
        </w:tblPrEx>
        <w:trPr>
          <w:trHeight w:val="213" w:hRule="atLeast"/>
        </w:trPr>
        <w:tc>
          <w:tcPr>
            <w:tcW w:w="3189"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3288" w:type="dxa"/>
            <w:tcBorders>
              <w:top w:val="nil"/>
              <w:left w:val="nil"/>
              <w:bottom w:val="nil"/>
              <w:right w:val="nil"/>
            </w:tcBorders>
            <w:noWrap/>
            <w:vAlign w:val="bottom"/>
          </w:tcPr>
          <w:p>
            <w:pPr>
              <w:rPr>
                <w:rFonts w:ascii="黑体" w:hAnsi="黑体" w:eastAsia="黑体" w:cs="黑体"/>
                <w:color w:val="000000"/>
                <w:szCs w:val="21"/>
              </w:rPr>
            </w:pPr>
          </w:p>
        </w:tc>
        <w:tc>
          <w:tcPr>
            <w:tcW w:w="1606" w:type="dxa"/>
            <w:tcBorders>
              <w:top w:val="nil"/>
              <w:left w:val="nil"/>
              <w:bottom w:val="nil"/>
              <w:right w:val="nil"/>
            </w:tcBorders>
            <w:noWrap/>
            <w:vAlign w:val="bottom"/>
          </w:tcPr>
          <w:p>
            <w:pPr>
              <w:rPr>
                <w:rFonts w:ascii="黑体" w:hAnsi="黑体" w:eastAsia="黑体" w:cs="黑体"/>
                <w:color w:val="000000"/>
                <w:szCs w:val="21"/>
              </w:rPr>
            </w:pPr>
          </w:p>
        </w:tc>
        <w:tc>
          <w:tcPr>
            <w:tcW w:w="808" w:type="dxa"/>
            <w:tcBorders>
              <w:top w:val="nil"/>
              <w:left w:val="nil"/>
              <w:bottom w:val="nil"/>
              <w:right w:val="nil"/>
            </w:tcBorders>
            <w:noWrap/>
            <w:vAlign w:val="bottom"/>
          </w:tcPr>
          <w:p>
            <w:pPr>
              <w:rPr>
                <w:rFonts w:ascii="黑体" w:hAnsi="黑体" w:eastAsia="黑体" w:cs="黑体"/>
                <w:color w:val="000000"/>
                <w:szCs w:val="21"/>
              </w:rPr>
            </w:pPr>
          </w:p>
        </w:tc>
        <w:tc>
          <w:tcPr>
            <w:tcW w:w="709" w:type="dxa"/>
            <w:tcBorders>
              <w:top w:val="nil"/>
              <w:left w:val="nil"/>
              <w:bottom w:val="nil"/>
              <w:right w:val="nil"/>
            </w:tcBorders>
            <w:noWrap/>
            <w:vAlign w:val="bottom"/>
          </w:tcPr>
          <w:p>
            <w:pPr>
              <w:rPr>
                <w:rFonts w:ascii="黑体" w:hAnsi="黑体" w:eastAsia="黑体" w:cs="黑体"/>
                <w:color w:val="000000"/>
                <w:szCs w:val="21"/>
              </w:rPr>
            </w:pPr>
          </w:p>
        </w:tc>
        <w:tc>
          <w:tcPr>
            <w:tcW w:w="708" w:type="dxa"/>
            <w:tcBorders>
              <w:top w:val="nil"/>
              <w:left w:val="nil"/>
              <w:bottom w:val="nil"/>
              <w:right w:val="nil"/>
            </w:tcBorders>
            <w:noWrap/>
            <w:vAlign w:val="bottom"/>
          </w:tcPr>
          <w:p>
            <w:pPr>
              <w:rPr>
                <w:rFonts w:ascii="黑体" w:hAnsi="黑体" w:eastAsia="黑体" w:cs="黑体"/>
                <w:color w:val="000000"/>
                <w:szCs w:val="21"/>
              </w:rPr>
            </w:pPr>
          </w:p>
        </w:tc>
        <w:tc>
          <w:tcPr>
            <w:tcW w:w="3307" w:type="dxa"/>
            <w:gridSpan w:val="4"/>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gridAfter w:val="1"/>
          <w:wAfter w:w="14" w:type="dxa"/>
          <w:trHeight w:val="409" w:hRule="atLeast"/>
        </w:trPr>
        <w:tc>
          <w:tcPr>
            <w:tcW w:w="6957"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1606"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本年收入合计</w:t>
            </w:r>
          </w:p>
        </w:tc>
        <w:tc>
          <w:tcPr>
            <w:tcW w:w="808"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财政拨款收入</w:t>
            </w:r>
          </w:p>
        </w:tc>
        <w:tc>
          <w:tcPr>
            <w:tcW w:w="709"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上级补助收入</w:t>
            </w:r>
          </w:p>
        </w:tc>
        <w:tc>
          <w:tcPr>
            <w:tcW w:w="708"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事业收入</w:t>
            </w:r>
          </w:p>
        </w:tc>
        <w:tc>
          <w:tcPr>
            <w:tcW w:w="1614"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经营收入</w:t>
            </w:r>
          </w:p>
        </w:tc>
        <w:tc>
          <w:tcPr>
            <w:tcW w:w="841"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附属单位上缴收入</w:t>
            </w:r>
          </w:p>
        </w:tc>
        <w:tc>
          <w:tcPr>
            <w:tcW w:w="838"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其他收入</w:t>
            </w:r>
          </w:p>
        </w:tc>
      </w:tr>
      <w:tr>
        <w:tblPrEx>
          <w:tblCellMar>
            <w:top w:w="0" w:type="dxa"/>
            <w:left w:w="108" w:type="dxa"/>
            <w:bottom w:w="0" w:type="dxa"/>
            <w:right w:w="108" w:type="dxa"/>
          </w:tblCellMar>
        </w:tblPrEx>
        <w:trPr>
          <w:gridAfter w:val="1"/>
          <w:wAfter w:w="14" w:type="dxa"/>
          <w:trHeight w:val="312" w:hRule="atLeast"/>
        </w:trPr>
        <w:tc>
          <w:tcPr>
            <w:tcW w:w="3669"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功能分类科目编码</w:t>
            </w:r>
          </w:p>
        </w:tc>
        <w:tc>
          <w:tcPr>
            <w:tcW w:w="3288"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160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61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4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3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312" w:hRule="atLeast"/>
        </w:trPr>
        <w:tc>
          <w:tcPr>
            <w:tcW w:w="366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3288"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60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61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4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3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312" w:hRule="atLeast"/>
        </w:trPr>
        <w:tc>
          <w:tcPr>
            <w:tcW w:w="3669"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3288"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606"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70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61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4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38"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199" w:hRule="atLeast"/>
        </w:trPr>
        <w:tc>
          <w:tcPr>
            <w:tcW w:w="6957"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栏次</w:t>
            </w:r>
          </w:p>
        </w:tc>
        <w:tc>
          <w:tcPr>
            <w:tcW w:w="1606"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808"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709"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708"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w:t>
            </w:r>
          </w:p>
        </w:tc>
        <w:tc>
          <w:tcPr>
            <w:tcW w:w="1614"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w:t>
            </w:r>
          </w:p>
        </w:tc>
        <w:tc>
          <w:tcPr>
            <w:tcW w:w="841"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w:t>
            </w:r>
          </w:p>
        </w:tc>
        <w:tc>
          <w:tcPr>
            <w:tcW w:w="838"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7</w:t>
            </w:r>
          </w:p>
        </w:tc>
      </w:tr>
      <w:tr>
        <w:tblPrEx>
          <w:tblCellMar>
            <w:top w:w="0" w:type="dxa"/>
            <w:left w:w="108" w:type="dxa"/>
            <w:bottom w:w="0" w:type="dxa"/>
            <w:right w:w="108" w:type="dxa"/>
          </w:tblCellMar>
        </w:tblPrEx>
        <w:trPr>
          <w:gridAfter w:val="1"/>
          <w:wAfter w:w="14" w:type="dxa"/>
          <w:trHeight w:val="289" w:hRule="atLeast"/>
        </w:trPr>
        <w:tc>
          <w:tcPr>
            <w:tcW w:w="6957"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606"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r>
              <w:rPr>
                <w:rFonts w:ascii="仿宋_GB2312" w:hAnsi="仿宋_GB2312" w:eastAsia="仿宋_GB2312" w:cs="仿宋_GB2312"/>
                <w:b/>
                <w:color w:val="000000"/>
                <w:szCs w:val="21"/>
              </w:rPr>
              <w:t>6,522,051.61</w:t>
            </w:r>
          </w:p>
        </w:tc>
        <w:tc>
          <w:tcPr>
            <w:tcW w:w="808"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70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161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r>
              <w:rPr>
                <w:rFonts w:ascii="仿宋_GB2312" w:hAnsi="仿宋_GB2312" w:eastAsia="仿宋_GB2312" w:cs="仿宋_GB2312"/>
                <w:b/>
                <w:color w:val="000000"/>
                <w:szCs w:val="21"/>
              </w:rPr>
              <w:t>6,522,051.61</w:t>
            </w:r>
          </w:p>
        </w:tc>
        <w:tc>
          <w:tcPr>
            <w:tcW w:w="841"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838"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p>
        </w:tc>
      </w:tr>
      <w:tr>
        <w:tblPrEx>
          <w:tblCellMar>
            <w:top w:w="0" w:type="dxa"/>
            <w:left w:w="108" w:type="dxa"/>
            <w:bottom w:w="0" w:type="dxa"/>
            <w:right w:w="108" w:type="dxa"/>
          </w:tblCellMar>
        </w:tblPrEx>
        <w:trPr>
          <w:gridAfter w:val="1"/>
          <w:wAfter w:w="14" w:type="dxa"/>
          <w:trHeight w:val="432" w:hRule="atLeast"/>
        </w:trPr>
        <w:tc>
          <w:tcPr>
            <w:tcW w:w="3669"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ind w:right="840"/>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205</w:t>
            </w:r>
          </w:p>
        </w:tc>
        <w:tc>
          <w:tcPr>
            <w:tcW w:w="3288"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Cs w:val="21"/>
              </w:rPr>
            </w:pPr>
            <w:r>
              <w:rPr>
                <w:rFonts w:hint="eastAsia" w:cs="Arial"/>
                <w:color w:val="000000"/>
                <w:sz w:val="22"/>
                <w:szCs w:val="22"/>
              </w:rPr>
              <w:t>教育支出</w:t>
            </w:r>
          </w:p>
        </w:tc>
        <w:tc>
          <w:tcPr>
            <w:tcW w:w="1606"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6,522,051.61</w:t>
            </w:r>
          </w:p>
        </w:tc>
        <w:tc>
          <w:tcPr>
            <w:tcW w:w="808"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70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61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841"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83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447" w:hRule="atLeast"/>
        </w:trPr>
        <w:tc>
          <w:tcPr>
            <w:tcW w:w="3669"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20502</w:t>
            </w:r>
          </w:p>
        </w:tc>
        <w:tc>
          <w:tcPr>
            <w:tcW w:w="3288"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Cs w:val="21"/>
              </w:rPr>
            </w:pPr>
            <w:r>
              <w:rPr>
                <w:rFonts w:hint="eastAsia" w:cs="Arial"/>
                <w:color w:val="000000"/>
                <w:sz w:val="22"/>
                <w:szCs w:val="22"/>
              </w:rPr>
              <w:t>普通教育</w:t>
            </w:r>
          </w:p>
        </w:tc>
        <w:tc>
          <w:tcPr>
            <w:tcW w:w="1606"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6,522,051.61</w:t>
            </w:r>
          </w:p>
        </w:tc>
        <w:tc>
          <w:tcPr>
            <w:tcW w:w="808"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70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61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841"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83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462" w:hRule="atLeast"/>
        </w:trPr>
        <w:tc>
          <w:tcPr>
            <w:tcW w:w="3669"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2050201</w:t>
            </w:r>
          </w:p>
        </w:tc>
        <w:tc>
          <w:tcPr>
            <w:tcW w:w="3288"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Cs w:val="21"/>
              </w:rPr>
            </w:pPr>
            <w:r>
              <w:rPr>
                <w:rFonts w:hint="eastAsia" w:cs="Arial"/>
                <w:color w:val="000000"/>
                <w:sz w:val="22"/>
                <w:szCs w:val="22"/>
              </w:rPr>
              <w:t xml:space="preserve">  学前教育</w:t>
            </w:r>
          </w:p>
        </w:tc>
        <w:tc>
          <w:tcPr>
            <w:tcW w:w="1606"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6,522,051.61</w:t>
            </w:r>
          </w:p>
        </w:tc>
        <w:tc>
          <w:tcPr>
            <w:tcW w:w="808"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70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61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ascii="仿宋_GB2312" w:hAnsi="仿宋_GB2312" w:eastAsia="仿宋_GB2312" w:cs="仿宋_GB2312"/>
                <w:color w:val="000000"/>
                <w:szCs w:val="21"/>
              </w:rPr>
              <w:t>6,522,051.61</w:t>
            </w:r>
          </w:p>
        </w:tc>
        <w:tc>
          <w:tcPr>
            <w:tcW w:w="841"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838"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gridAfter w:val="1"/>
          <w:wAfter w:w="14" w:type="dxa"/>
          <w:trHeight w:val="409" w:hRule="atLeast"/>
        </w:trPr>
        <w:tc>
          <w:tcPr>
            <w:tcW w:w="14081" w:type="dxa"/>
            <w:gridSpan w:val="11"/>
            <w:tcBorders>
              <w:top w:val="nil"/>
              <w:left w:val="nil"/>
              <w:bottom w:val="nil"/>
              <w:right w:val="nil"/>
            </w:tcBorders>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注：本表反映部门本年度取得的各项收入情况。</w:t>
            </w:r>
          </w:p>
        </w:tc>
      </w:tr>
    </w:tbl>
    <w:p>
      <w:pPr>
        <w:pStyle w:val="3"/>
        <w:spacing w:line="600" w:lineRule="exact"/>
        <w:ind w:left="0" w:leftChars="0"/>
        <w:rPr>
          <w:rFonts w:ascii="仿宋_GB2312" w:hAnsi="仿宋_GB2312" w:eastAsia="仿宋_GB2312" w:cs="仿宋_GB2312"/>
          <w:szCs w:val="21"/>
        </w:rPr>
        <w:sectPr>
          <w:pgSz w:w="16838" w:h="11906" w:orient="landscape"/>
          <w:pgMar w:top="1800" w:right="1440" w:bottom="1800" w:left="1440" w:header="851" w:footer="992" w:gutter="0"/>
          <w:cols w:space="720" w:num="1"/>
          <w:docGrid w:type="lines" w:linePitch="312" w:charSpace="0"/>
        </w:sectPr>
      </w:pPr>
    </w:p>
    <w:tbl>
      <w:tblPr>
        <w:tblStyle w:val="6"/>
        <w:tblW w:w="14095" w:type="dxa"/>
        <w:tblInd w:w="93" w:type="dxa"/>
        <w:tblLayout w:type="fixed"/>
        <w:tblCellMar>
          <w:top w:w="0" w:type="dxa"/>
          <w:left w:w="108" w:type="dxa"/>
          <w:bottom w:w="0" w:type="dxa"/>
          <w:right w:w="108" w:type="dxa"/>
        </w:tblCellMar>
      </w:tblPr>
      <w:tblGrid>
        <w:gridCol w:w="3142"/>
        <w:gridCol w:w="240"/>
        <w:gridCol w:w="240"/>
        <w:gridCol w:w="2824"/>
        <w:gridCol w:w="1621"/>
        <w:gridCol w:w="737"/>
        <w:gridCol w:w="709"/>
        <w:gridCol w:w="992"/>
        <w:gridCol w:w="2242"/>
        <w:gridCol w:w="1334"/>
        <w:gridCol w:w="14"/>
      </w:tblGrid>
      <w:tr>
        <w:tblPrEx>
          <w:tblCellMar>
            <w:top w:w="0" w:type="dxa"/>
            <w:left w:w="108" w:type="dxa"/>
            <w:bottom w:w="0" w:type="dxa"/>
            <w:right w:w="108" w:type="dxa"/>
          </w:tblCellMar>
        </w:tblPrEx>
        <w:trPr>
          <w:gridAfter w:val="1"/>
          <w:wAfter w:w="14" w:type="dxa"/>
          <w:trHeight w:val="561" w:hRule="atLeast"/>
        </w:trPr>
        <w:tc>
          <w:tcPr>
            <w:tcW w:w="14081" w:type="dxa"/>
            <w:gridSpan w:val="10"/>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支出决算表</w:t>
            </w:r>
          </w:p>
        </w:tc>
      </w:tr>
      <w:tr>
        <w:tblPrEx>
          <w:tblCellMar>
            <w:top w:w="0" w:type="dxa"/>
            <w:left w:w="108" w:type="dxa"/>
            <w:bottom w:w="0" w:type="dxa"/>
            <w:right w:w="108" w:type="dxa"/>
          </w:tblCellMar>
        </w:tblPrEx>
        <w:trPr>
          <w:trHeight w:val="297" w:hRule="atLeast"/>
        </w:trPr>
        <w:tc>
          <w:tcPr>
            <w:tcW w:w="3142"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824" w:type="dxa"/>
            <w:tcBorders>
              <w:top w:val="nil"/>
              <w:left w:val="nil"/>
              <w:bottom w:val="nil"/>
              <w:right w:val="nil"/>
            </w:tcBorders>
            <w:noWrap/>
            <w:vAlign w:val="bottom"/>
          </w:tcPr>
          <w:p>
            <w:pPr>
              <w:rPr>
                <w:rFonts w:ascii="黑体" w:hAnsi="黑体" w:eastAsia="黑体" w:cs="黑体"/>
                <w:color w:val="000000"/>
                <w:szCs w:val="21"/>
              </w:rPr>
            </w:pPr>
          </w:p>
        </w:tc>
        <w:tc>
          <w:tcPr>
            <w:tcW w:w="1621" w:type="dxa"/>
            <w:tcBorders>
              <w:top w:val="nil"/>
              <w:left w:val="nil"/>
              <w:bottom w:val="nil"/>
              <w:right w:val="nil"/>
            </w:tcBorders>
            <w:noWrap/>
            <w:vAlign w:val="bottom"/>
          </w:tcPr>
          <w:p>
            <w:pPr>
              <w:rPr>
                <w:rFonts w:ascii="黑体" w:hAnsi="黑体" w:eastAsia="黑体" w:cs="黑体"/>
                <w:color w:val="000000"/>
                <w:szCs w:val="21"/>
              </w:rPr>
            </w:pPr>
          </w:p>
        </w:tc>
        <w:tc>
          <w:tcPr>
            <w:tcW w:w="737" w:type="dxa"/>
            <w:tcBorders>
              <w:top w:val="nil"/>
              <w:left w:val="nil"/>
              <w:bottom w:val="nil"/>
              <w:right w:val="nil"/>
            </w:tcBorders>
            <w:noWrap/>
            <w:vAlign w:val="bottom"/>
          </w:tcPr>
          <w:p>
            <w:pPr>
              <w:rPr>
                <w:rFonts w:ascii="黑体" w:hAnsi="黑体" w:eastAsia="黑体" w:cs="黑体"/>
                <w:color w:val="000000"/>
                <w:szCs w:val="21"/>
              </w:rPr>
            </w:pPr>
          </w:p>
        </w:tc>
        <w:tc>
          <w:tcPr>
            <w:tcW w:w="5291" w:type="dxa"/>
            <w:gridSpan w:val="5"/>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公开03表</w:t>
            </w:r>
          </w:p>
        </w:tc>
      </w:tr>
      <w:tr>
        <w:tblPrEx>
          <w:tblCellMar>
            <w:top w:w="0" w:type="dxa"/>
            <w:left w:w="108" w:type="dxa"/>
            <w:bottom w:w="0" w:type="dxa"/>
            <w:right w:w="108" w:type="dxa"/>
          </w:tblCellMar>
        </w:tblPrEx>
        <w:trPr>
          <w:trHeight w:val="297" w:hRule="atLeast"/>
        </w:trPr>
        <w:tc>
          <w:tcPr>
            <w:tcW w:w="3142"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2824" w:type="dxa"/>
            <w:tcBorders>
              <w:top w:val="nil"/>
              <w:left w:val="nil"/>
              <w:bottom w:val="nil"/>
              <w:right w:val="nil"/>
            </w:tcBorders>
            <w:noWrap/>
            <w:vAlign w:val="bottom"/>
          </w:tcPr>
          <w:p>
            <w:pPr>
              <w:rPr>
                <w:rFonts w:ascii="黑体" w:hAnsi="黑体" w:eastAsia="黑体" w:cs="黑体"/>
                <w:color w:val="000000"/>
                <w:szCs w:val="21"/>
              </w:rPr>
            </w:pPr>
          </w:p>
        </w:tc>
        <w:tc>
          <w:tcPr>
            <w:tcW w:w="1621" w:type="dxa"/>
            <w:tcBorders>
              <w:top w:val="nil"/>
              <w:left w:val="nil"/>
              <w:bottom w:val="nil"/>
              <w:right w:val="nil"/>
            </w:tcBorders>
            <w:noWrap/>
            <w:vAlign w:val="bottom"/>
          </w:tcPr>
          <w:p>
            <w:pPr>
              <w:rPr>
                <w:rFonts w:ascii="黑体" w:hAnsi="黑体" w:eastAsia="黑体" w:cs="黑体"/>
                <w:color w:val="000000"/>
                <w:szCs w:val="21"/>
              </w:rPr>
            </w:pPr>
          </w:p>
        </w:tc>
        <w:tc>
          <w:tcPr>
            <w:tcW w:w="737" w:type="dxa"/>
            <w:tcBorders>
              <w:top w:val="nil"/>
              <w:left w:val="nil"/>
              <w:bottom w:val="nil"/>
              <w:right w:val="nil"/>
            </w:tcBorders>
            <w:noWrap/>
            <w:vAlign w:val="bottom"/>
          </w:tcPr>
          <w:p>
            <w:pPr>
              <w:rPr>
                <w:rFonts w:ascii="黑体" w:hAnsi="黑体" w:eastAsia="黑体" w:cs="黑体"/>
                <w:color w:val="000000"/>
                <w:szCs w:val="21"/>
              </w:rPr>
            </w:pPr>
          </w:p>
        </w:tc>
        <w:tc>
          <w:tcPr>
            <w:tcW w:w="5291" w:type="dxa"/>
            <w:gridSpan w:val="5"/>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gridAfter w:val="1"/>
          <w:wAfter w:w="14" w:type="dxa"/>
          <w:trHeight w:val="570" w:hRule="atLeast"/>
        </w:trPr>
        <w:tc>
          <w:tcPr>
            <w:tcW w:w="6446"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1621"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本年支出合计</w:t>
            </w:r>
          </w:p>
        </w:tc>
        <w:tc>
          <w:tcPr>
            <w:tcW w:w="737"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基本支出</w:t>
            </w:r>
          </w:p>
        </w:tc>
        <w:tc>
          <w:tcPr>
            <w:tcW w:w="709"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项目支出</w:t>
            </w:r>
          </w:p>
        </w:tc>
        <w:tc>
          <w:tcPr>
            <w:tcW w:w="992"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上缴上级支出</w:t>
            </w:r>
          </w:p>
        </w:tc>
        <w:tc>
          <w:tcPr>
            <w:tcW w:w="2242"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经营支出</w:t>
            </w:r>
          </w:p>
        </w:tc>
        <w:tc>
          <w:tcPr>
            <w:tcW w:w="1334"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对附属单位补助支出</w:t>
            </w:r>
          </w:p>
        </w:tc>
      </w:tr>
      <w:tr>
        <w:tblPrEx>
          <w:tblCellMar>
            <w:top w:w="0" w:type="dxa"/>
            <w:left w:w="108" w:type="dxa"/>
            <w:bottom w:w="0" w:type="dxa"/>
            <w:right w:w="108" w:type="dxa"/>
          </w:tblCellMar>
        </w:tblPrEx>
        <w:trPr>
          <w:gridAfter w:val="1"/>
          <w:wAfter w:w="14" w:type="dxa"/>
          <w:trHeight w:val="312" w:hRule="atLeast"/>
        </w:trPr>
        <w:tc>
          <w:tcPr>
            <w:tcW w:w="3622"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功能分类科目编码</w:t>
            </w:r>
          </w:p>
        </w:tc>
        <w:tc>
          <w:tcPr>
            <w:tcW w:w="2824"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162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3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99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224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33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312" w:hRule="atLeast"/>
        </w:trPr>
        <w:tc>
          <w:tcPr>
            <w:tcW w:w="3622"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2824"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62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3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99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224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33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312" w:hRule="atLeast"/>
        </w:trPr>
        <w:tc>
          <w:tcPr>
            <w:tcW w:w="3622"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2824"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621"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37"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70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99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2242"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334"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450" w:hRule="atLeast"/>
        </w:trPr>
        <w:tc>
          <w:tcPr>
            <w:tcW w:w="644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1621"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w:t>
            </w:r>
          </w:p>
        </w:tc>
        <w:tc>
          <w:tcPr>
            <w:tcW w:w="737"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w:t>
            </w:r>
          </w:p>
        </w:tc>
        <w:tc>
          <w:tcPr>
            <w:tcW w:w="709"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w:t>
            </w:r>
          </w:p>
        </w:tc>
        <w:tc>
          <w:tcPr>
            <w:tcW w:w="992"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w:t>
            </w:r>
          </w:p>
        </w:tc>
        <w:tc>
          <w:tcPr>
            <w:tcW w:w="2242"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w:t>
            </w:r>
          </w:p>
        </w:tc>
        <w:tc>
          <w:tcPr>
            <w:tcW w:w="1334"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w:t>
            </w:r>
          </w:p>
        </w:tc>
      </w:tr>
      <w:tr>
        <w:tblPrEx>
          <w:tblCellMar>
            <w:top w:w="0" w:type="dxa"/>
            <w:left w:w="108" w:type="dxa"/>
            <w:bottom w:w="0" w:type="dxa"/>
            <w:right w:w="108" w:type="dxa"/>
          </w:tblCellMar>
        </w:tblPrEx>
        <w:trPr>
          <w:gridAfter w:val="1"/>
          <w:wAfter w:w="14" w:type="dxa"/>
          <w:trHeight w:val="570" w:hRule="atLeast"/>
        </w:trPr>
        <w:tc>
          <w:tcPr>
            <w:tcW w:w="644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合计</w:t>
            </w:r>
          </w:p>
        </w:tc>
        <w:tc>
          <w:tcPr>
            <w:tcW w:w="1621"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r>
              <w:rPr>
                <w:rFonts w:hint="eastAsia" w:ascii="仿宋_GB2312" w:hAnsi="仿宋_GB2312" w:eastAsia="仿宋_GB2312" w:cs="仿宋_GB2312"/>
                <w:color w:val="000000"/>
                <w:szCs w:val="21"/>
              </w:rPr>
              <w:t>6,522,051.61</w:t>
            </w:r>
          </w:p>
        </w:tc>
        <w:tc>
          <w:tcPr>
            <w:tcW w:w="737"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p>
        </w:tc>
        <w:tc>
          <w:tcPr>
            <w:tcW w:w="709"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p>
        </w:tc>
        <w:tc>
          <w:tcPr>
            <w:tcW w:w="99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 w:val="20"/>
                <w:szCs w:val="20"/>
              </w:rPr>
            </w:pPr>
          </w:p>
        </w:tc>
        <w:tc>
          <w:tcPr>
            <w:tcW w:w="224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 w:val="20"/>
                <w:szCs w:val="20"/>
              </w:rPr>
            </w:pPr>
            <w:r>
              <w:rPr>
                <w:rFonts w:hint="eastAsia" w:ascii="仿宋_GB2312" w:hAnsi="仿宋_GB2312" w:eastAsia="仿宋_GB2312" w:cs="仿宋_GB2312"/>
                <w:color w:val="000000"/>
                <w:szCs w:val="21"/>
              </w:rPr>
              <w:t>6,522,051.61</w:t>
            </w:r>
          </w:p>
        </w:tc>
        <w:tc>
          <w:tcPr>
            <w:tcW w:w="133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 w:val="20"/>
                <w:szCs w:val="20"/>
              </w:rPr>
            </w:pPr>
          </w:p>
        </w:tc>
      </w:tr>
      <w:tr>
        <w:tblPrEx>
          <w:tblCellMar>
            <w:top w:w="0" w:type="dxa"/>
            <w:left w:w="108" w:type="dxa"/>
            <w:bottom w:w="0" w:type="dxa"/>
            <w:right w:w="108" w:type="dxa"/>
          </w:tblCellMar>
        </w:tblPrEx>
        <w:trPr>
          <w:gridAfter w:val="1"/>
          <w:wAfter w:w="14" w:type="dxa"/>
          <w:trHeight w:val="405" w:hRule="atLeast"/>
        </w:trPr>
        <w:tc>
          <w:tcPr>
            <w:tcW w:w="3622"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205</w:t>
            </w:r>
          </w:p>
        </w:tc>
        <w:tc>
          <w:tcPr>
            <w:tcW w:w="2824"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cs="Arial"/>
                <w:color w:val="000000"/>
                <w:sz w:val="22"/>
                <w:szCs w:val="22"/>
              </w:rPr>
              <w:t>教育支出</w:t>
            </w:r>
          </w:p>
        </w:tc>
        <w:tc>
          <w:tcPr>
            <w:tcW w:w="162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6,522,051.61</w:t>
            </w:r>
          </w:p>
        </w:tc>
        <w:tc>
          <w:tcPr>
            <w:tcW w:w="737"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99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224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r>
              <w:rPr>
                <w:rFonts w:ascii="仿宋_GB2312" w:hAnsi="仿宋_GB2312" w:eastAsia="仿宋_GB2312" w:cs="仿宋_GB2312"/>
                <w:color w:val="000000"/>
                <w:szCs w:val="21"/>
              </w:rPr>
              <w:t>6,522,051.61</w:t>
            </w:r>
          </w:p>
        </w:tc>
        <w:tc>
          <w:tcPr>
            <w:tcW w:w="133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450" w:hRule="atLeast"/>
        </w:trPr>
        <w:tc>
          <w:tcPr>
            <w:tcW w:w="3622"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20502</w:t>
            </w:r>
          </w:p>
        </w:tc>
        <w:tc>
          <w:tcPr>
            <w:tcW w:w="2824"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cs="Arial"/>
                <w:color w:val="000000"/>
                <w:sz w:val="22"/>
                <w:szCs w:val="22"/>
              </w:rPr>
              <w:t>普通教育</w:t>
            </w:r>
          </w:p>
        </w:tc>
        <w:tc>
          <w:tcPr>
            <w:tcW w:w="162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6,522,051.61</w:t>
            </w:r>
          </w:p>
        </w:tc>
        <w:tc>
          <w:tcPr>
            <w:tcW w:w="737"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99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224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r>
              <w:rPr>
                <w:rFonts w:ascii="仿宋_GB2312" w:hAnsi="仿宋_GB2312" w:eastAsia="仿宋_GB2312" w:cs="仿宋_GB2312"/>
                <w:color w:val="000000"/>
                <w:szCs w:val="21"/>
              </w:rPr>
              <w:t>6,522,051.61</w:t>
            </w:r>
          </w:p>
        </w:tc>
        <w:tc>
          <w:tcPr>
            <w:tcW w:w="133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405" w:hRule="atLeast"/>
        </w:trPr>
        <w:tc>
          <w:tcPr>
            <w:tcW w:w="3622"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2050201</w:t>
            </w:r>
          </w:p>
        </w:tc>
        <w:tc>
          <w:tcPr>
            <w:tcW w:w="2824" w:type="dxa"/>
            <w:tcBorders>
              <w:top w:val="nil"/>
              <w:left w:val="nil"/>
              <w:bottom w:val="single" w:color="000000" w:sz="4" w:space="0"/>
              <w:right w:val="single" w:color="000000" w:sz="4" w:space="0"/>
            </w:tcBorders>
            <w:shd w:val="clear" w:color="auto" w:fill="auto"/>
            <w:noWrap/>
            <w:vAlign w:val="center"/>
          </w:tcPr>
          <w:p>
            <w:pPr>
              <w:widowControl/>
              <w:jc w:val="left"/>
              <w:textAlignment w:val="center"/>
              <w:rPr>
                <w:rFonts w:ascii="仿宋_GB2312" w:hAnsi="仿宋_GB2312" w:eastAsia="仿宋_GB2312" w:cs="仿宋_GB2312"/>
                <w:color w:val="000000"/>
                <w:sz w:val="20"/>
                <w:szCs w:val="20"/>
              </w:rPr>
            </w:pPr>
            <w:r>
              <w:rPr>
                <w:rFonts w:hint="eastAsia" w:cs="Arial"/>
                <w:color w:val="000000"/>
                <w:sz w:val="22"/>
                <w:szCs w:val="22"/>
              </w:rPr>
              <w:t xml:space="preserve">  学前教育</w:t>
            </w:r>
          </w:p>
        </w:tc>
        <w:tc>
          <w:tcPr>
            <w:tcW w:w="1621"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szCs w:val="21"/>
              </w:rPr>
              <w:t>6,522,051.61</w:t>
            </w:r>
          </w:p>
        </w:tc>
        <w:tc>
          <w:tcPr>
            <w:tcW w:w="737"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70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99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224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r>
              <w:rPr>
                <w:rFonts w:ascii="仿宋_GB2312" w:hAnsi="仿宋_GB2312" w:eastAsia="仿宋_GB2312" w:cs="仿宋_GB2312"/>
                <w:color w:val="000000"/>
                <w:szCs w:val="21"/>
              </w:rPr>
              <w:t>6,522,051.61</w:t>
            </w:r>
          </w:p>
        </w:tc>
        <w:tc>
          <w:tcPr>
            <w:tcW w:w="1334"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 w:type="dxa"/>
          <w:trHeight w:val="570" w:hRule="atLeast"/>
        </w:trPr>
        <w:tc>
          <w:tcPr>
            <w:tcW w:w="14081" w:type="dxa"/>
            <w:gridSpan w:val="10"/>
            <w:tcBorders>
              <w:top w:val="nil"/>
              <w:left w:val="nil"/>
              <w:bottom w:val="nil"/>
              <w:right w:val="nil"/>
            </w:tcBorders>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注：本表反映部门本年度各项支出情况。</w:t>
            </w:r>
          </w:p>
        </w:tc>
      </w:tr>
    </w:tbl>
    <w:p>
      <w:pPr>
        <w:pStyle w:val="3"/>
        <w:spacing w:line="600" w:lineRule="exact"/>
        <w:ind w:left="0" w:leftChars="0"/>
        <w:rPr>
          <w:rFonts w:ascii="黑体" w:hAnsi="黑体" w:eastAsia="黑体" w:cs="黑体"/>
          <w:sz w:val="32"/>
          <w:szCs w:val="32"/>
        </w:rPr>
        <w:sectPr>
          <w:pgSz w:w="16838" w:h="11906" w:orient="landscape"/>
          <w:pgMar w:top="1800" w:right="1440" w:bottom="1800" w:left="1440" w:header="851" w:footer="992" w:gutter="0"/>
          <w:cols w:space="720" w:num="1"/>
          <w:docGrid w:type="lines" w:linePitch="312" w:charSpace="0"/>
        </w:sectPr>
      </w:pPr>
    </w:p>
    <w:tbl>
      <w:tblPr>
        <w:tblStyle w:val="6"/>
        <w:tblW w:w="14081" w:type="dxa"/>
        <w:tblInd w:w="93" w:type="dxa"/>
        <w:tblLayout w:type="fixed"/>
        <w:tblCellMar>
          <w:top w:w="0" w:type="dxa"/>
          <w:left w:w="108" w:type="dxa"/>
          <w:bottom w:w="0" w:type="dxa"/>
          <w:right w:w="108" w:type="dxa"/>
        </w:tblCellMar>
      </w:tblPr>
      <w:tblGrid>
        <w:gridCol w:w="3072"/>
        <w:gridCol w:w="540"/>
        <w:gridCol w:w="1223"/>
        <w:gridCol w:w="3260"/>
        <w:gridCol w:w="482"/>
        <w:gridCol w:w="1440"/>
        <w:gridCol w:w="1485"/>
        <w:gridCol w:w="1157"/>
        <w:gridCol w:w="1422"/>
      </w:tblGrid>
      <w:tr>
        <w:tblPrEx>
          <w:tblCellMar>
            <w:top w:w="0" w:type="dxa"/>
            <w:left w:w="108" w:type="dxa"/>
            <w:bottom w:w="0" w:type="dxa"/>
            <w:right w:w="108" w:type="dxa"/>
          </w:tblCellMar>
        </w:tblPrEx>
        <w:trPr>
          <w:trHeight w:val="581" w:hRule="atLeast"/>
        </w:trPr>
        <w:tc>
          <w:tcPr>
            <w:tcW w:w="14081" w:type="dxa"/>
            <w:gridSpan w:val="9"/>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财政拨款收入支出决算总表</w:t>
            </w:r>
          </w:p>
        </w:tc>
      </w:tr>
      <w:tr>
        <w:tblPrEx>
          <w:tblCellMar>
            <w:top w:w="0" w:type="dxa"/>
            <w:left w:w="108" w:type="dxa"/>
            <w:bottom w:w="0" w:type="dxa"/>
            <w:right w:w="108" w:type="dxa"/>
          </w:tblCellMar>
        </w:tblPrEx>
        <w:trPr>
          <w:trHeight w:val="291" w:hRule="atLeast"/>
        </w:trPr>
        <w:tc>
          <w:tcPr>
            <w:tcW w:w="3072" w:type="dxa"/>
            <w:tcBorders>
              <w:top w:val="nil"/>
              <w:left w:val="nil"/>
              <w:bottom w:val="nil"/>
              <w:right w:val="nil"/>
            </w:tcBorders>
            <w:noWrap/>
            <w:vAlign w:val="bottom"/>
          </w:tcPr>
          <w:p>
            <w:pPr>
              <w:rPr>
                <w:rFonts w:ascii="黑体" w:hAnsi="黑体" w:eastAsia="黑体" w:cs="黑体"/>
                <w:color w:val="000000"/>
                <w:szCs w:val="21"/>
              </w:rPr>
            </w:pPr>
          </w:p>
        </w:tc>
        <w:tc>
          <w:tcPr>
            <w:tcW w:w="540" w:type="dxa"/>
            <w:tcBorders>
              <w:top w:val="nil"/>
              <w:left w:val="nil"/>
              <w:bottom w:val="nil"/>
              <w:right w:val="nil"/>
            </w:tcBorders>
            <w:noWrap/>
            <w:vAlign w:val="bottom"/>
          </w:tcPr>
          <w:p>
            <w:pPr>
              <w:rPr>
                <w:rFonts w:ascii="黑体" w:hAnsi="黑体" w:eastAsia="黑体" w:cs="黑体"/>
                <w:color w:val="000000"/>
                <w:szCs w:val="21"/>
              </w:rPr>
            </w:pPr>
          </w:p>
        </w:tc>
        <w:tc>
          <w:tcPr>
            <w:tcW w:w="1223" w:type="dxa"/>
            <w:tcBorders>
              <w:top w:val="nil"/>
              <w:left w:val="nil"/>
              <w:bottom w:val="nil"/>
              <w:right w:val="nil"/>
            </w:tcBorders>
            <w:noWrap/>
            <w:vAlign w:val="bottom"/>
          </w:tcPr>
          <w:p>
            <w:pPr>
              <w:rPr>
                <w:rFonts w:ascii="黑体" w:hAnsi="黑体" w:eastAsia="黑体" w:cs="黑体"/>
                <w:color w:val="000000"/>
                <w:szCs w:val="21"/>
              </w:rPr>
            </w:pPr>
          </w:p>
        </w:tc>
        <w:tc>
          <w:tcPr>
            <w:tcW w:w="3260" w:type="dxa"/>
            <w:tcBorders>
              <w:top w:val="nil"/>
              <w:left w:val="nil"/>
              <w:bottom w:val="nil"/>
              <w:right w:val="nil"/>
            </w:tcBorders>
            <w:noWrap/>
            <w:vAlign w:val="bottom"/>
          </w:tcPr>
          <w:p>
            <w:pPr>
              <w:rPr>
                <w:rFonts w:ascii="黑体" w:hAnsi="黑体" w:eastAsia="黑体" w:cs="黑体"/>
                <w:color w:val="000000"/>
                <w:szCs w:val="21"/>
              </w:rPr>
            </w:pPr>
          </w:p>
        </w:tc>
        <w:tc>
          <w:tcPr>
            <w:tcW w:w="482" w:type="dxa"/>
            <w:tcBorders>
              <w:top w:val="nil"/>
              <w:left w:val="nil"/>
              <w:bottom w:val="nil"/>
              <w:right w:val="nil"/>
            </w:tcBorders>
            <w:noWrap/>
            <w:vAlign w:val="bottom"/>
          </w:tcPr>
          <w:p>
            <w:pPr>
              <w:rPr>
                <w:rFonts w:ascii="黑体" w:hAnsi="黑体" w:eastAsia="黑体" w:cs="黑体"/>
                <w:color w:val="000000"/>
                <w:szCs w:val="21"/>
              </w:rPr>
            </w:pPr>
          </w:p>
        </w:tc>
        <w:tc>
          <w:tcPr>
            <w:tcW w:w="1440" w:type="dxa"/>
            <w:tcBorders>
              <w:top w:val="nil"/>
              <w:left w:val="nil"/>
              <w:bottom w:val="nil"/>
              <w:right w:val="nil"/>
            </w:tcBorders>
            <w:noWrap/>
            <w:vAlign w:val="bottom"/>
          </w:tcPr>
          <w:p>
            <w:pPr>
              <w:rPr>
                <w:rFonts w:ascii="黑体" w:hAnsi="黑体" w:eastAsia="黑体" w:cs="黑体"/>
                <w:color w:val="000000"/>
                <w:szCs w:val="21"/>
              </w:rPr>
            </w:pPr>
          </w:p>
        </w:tc>
        <w:tc>
          <w:tcPr>
            <w:tcW w:w="1485" w:type="dxa"/>
            <w:tcBorders>
              <w:top w:val="nil"/>
              <w:left w:val="nil"/>
              <w:bottom w:val="nil"/>
              <w:right w:val="nil"/>
            </w:tcBorders>
            <w:noWrap/>
            <w:vAlign w:val="bottom"/>
          </w:tcPr>
          <w:p>
            <w:pPr>
              <w:rPr>
                <w:rFonts w:ascii="黑体" w:hAnsi="黑体" w:eastAsia="黑体" w:cs="黑体"/>
                <w:color w:val="000000"/>
                <w:szCs w:val="21"/>
              </w:rPr>
            </w:pPr>
          </w:p>
        </w:tc>
        <w:tc>
          <w:tcPr>
            <w:tcW w:w="2579"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公开04表</w:t>
            </w:r>
          </w:p>
        </w:tc>
      </w:tr>
      <w:tr>
        <w:tblPrEx>
          <w:tblCellMar>
            <w:top w:w="0" w:type="dxa"/>
            <w:left w:w="108" w:type="dxa"/>
            <w:bottom w:w="0" w:type="dxa"/>
            <w:right w:w="108" w:type="dxa"/>
          </w:tblCellMar>
        </w:tblPrEx>
        <w:trPr>
          <w:trHeight w:val="291" w:hRule="atLeast"/>
        </w:trPr>
        <w:tc>
          <w:tcPr>
            <w:tcW w:w="3072"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540" w:type="dxa"/>
            <w:tcBorders>
              <w:top w:val="nil"/>
              <w:left w:val="nil"/>
              <w:bottom w:val="nil"/>
              <w:right w:val="nil"/>
            </w:tcBorders>
            <w:noWrap/>
            <w:vAlign w:val="bottom"/>
          </w:tcPr>
          <w:p>
            <w:pPr>
              <w:rPr>
                <w:rFonts w:ascii="黑体" w:hAnsi="黑体" w:eastAsia="黑体" w:cs="黑体"/>
                <w:color w:val="000000"/>
                <w:szCs w:val="21"/>
              </w:rPr>
            </w:pPr>
          </w:p>
        </w:tc>
        <w:tc>
          <w:tcPr>
            <w:tcW w:w="1223" w:type="dxa"/>
            <w:tcBorders>
              <w:top w:val="nil"/>
              <w:left w:val="nil"/>
              <w:bottom w:val="nil"/>
              <w:right w:val="nil"/>
            </w:tcBorders>
            <w:noWrap/>
            <w:vAlign w:val="bottom"/>
          </w:tcPr>
          <w:p>
            <w:pPr>
              <w:rPr>
                <w:rFonts w:ascii="黑体" w:hAnsi="黑体" w:eastAsia="黑体" w:cs="黑体"/>
                <w:color w:val="000000"/>
                <w:szCs w:val="21"/>
              </w:rPr>
            </w:pPr>
          </w:p>
        </w:tc>
        <w:tc>
          <w:tcPr>
            <w:tcW w:w="3260" w:type="dxa"/>
            <w:tcBorders>
              <w:top w:val="nil"/>
              <w:left w:val="nil"/>
              <w:bottom w:val="nil"/>
              <w:right w:val="nil"/>
            </w:tcBorders>
            <w:noWrap/>
            <w:vAlign w:val="bottom"/>
          </w:tcPr>
          <w:p>
            <w:pPr>
              <w:rPr>
                <w:rFonts w:ascii="黑体" w:hAnsi="黑体" w:eastAsia="黑体" w:cs="黑体"/>
                <w:color w:val="000000"/>
                <w:szCs w:val="21"/>
              </w:rPr>
            </w:pPr>
          </w:p>
        </w:tc>
        <w:tc>
          <w:tcPr>
            <w:tcW w:w="482" w:type="dxa"/>
            <w:tcBorders>
              <w:top w:val="nil"/>
              <w:left w:val="nil"/>
              <w:bottom w:val="nil"/>
              <w:right w:val="nil"/>
            </w:tcBorders>
            <w:noWrap/>
            <w:vAlign w:val="bottom"/>
          </w:tcPr>
          <w:p>
            <w:pPr>
              <w:rPr>
                <w:rFonts w:ascii="黑体" w:hAnsi="黑体" w:eastAsia="黑体" w:cs="黑体"/>
                <w:color w:val="000000"/>
                <w:szCs w:val="21"/>
              </w:rPr>
            </w:pPr>
          </w:p>
        </w:tc>
        <w:tc>
          <w:tcPr>
            <w:tcW w:w="1440" w:type="dxa"/>
            <w:tcBorders>
              <w:top w:val="nil"/>
              <w:left w:val="nil"/>
              <w:bottom w:val="nil"/>
              <w:right w:val="nil"/>
            </w:tcBorders>
            <w:noWrap/>
            <w:vAlign w:val="bottom"/>
          </w:tcPr>
          <w:p>
            <w:pPr>
              <w:rPr>
                <w:rFonts w:ascii="黑体" w:hAnsi="黑体" w:eastAsia="黑体" w:cs="黑体"/>
                <w:color w:val="000000"/>
                <w:szCs w:val="21"/>
              </w:rPr>
            </w:pPr>
          </w:p>
        </w:tc>
        <w:tc>
          <w:tcPr>
            <w:tcW w:w="1485" w:type="dxa"/>
            <w:tcBorders>
              <w:top w:val="nil"/>
              <w:left w:val="nil"/>
              <w:bottom w:val="nil"/>
              <w:right w:val="nil"/>
            </w:tcBorders>
            <w:noWrap/>
            <w:vAlign w:val="bottom"/>
          </w:tcPr>
          <w:p>
            <w:pPr>
              <w:rPr>
                <w:rFonts w:ascii="黑体" w:hAnsi="黑体" w:eastAsia="黑体" w:cs="黑体"/>
                <w:color w:val="000000"/>
                <w:szCs w:val="21"/>
              </w:rPr>
            </w:pPr>
          </w:p>
        </w:tc>
        <w:tc>
          <w:tcPr>
            <w:tcW w:w="2579"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385" w:hRule="atLeast"/>
        </w:trPr>
        <w:tc>
          <w:tcPr>
            <w:tcW w:w="4835"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收     入</w:t>
            </w:r>
          </w:p>
        </w:tc>
        <w:tc>
          <w:tcPr>
            <w:tcW w:w="9246" w:type="dxa"/>
            <w:gridSpan w:val="6"/>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支     出</w:t>
            </w:r>
          </w:p>
        </w:tc>
      </w:tr>
      <w:tr>
        <w:tblPrEx>
          <w:tblCellMar>
            <w:top w:w="0" w:type="dxa"/>
            <w:left w:w="108" w:type="dxa"/>
            <w:bottom w:w="0" w:type="dxa"/>
            <w:right w:w="108" w:type="dxa"/>
          </w:tblCellMar>
        </w:tblPrEx>
        <w:trPr>
          <w:trHeight w:val="312" w:hRule="atLeast"/>
        </w:trPr>
        <w:tc>
          <w:tcPr>
            <w:tcW w:w="3072"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54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行次</w:t>
            </w:r>
          </w:p>
        </w:tc>
        <w:tc>
          <w:tcPr>
            <w:tcW w:w="1223"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金额</w:t>
            </w:r>
          </w:p>
        </w:tc>
        <w:tc>
          <w:tcPr>
            <w:tcW w:w="326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482"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行次</w:t>
            </w:r>
          </w:p>
        </w:tc>
        <w:tc>
          <w:tcPr>
            <w:tcW w:w="1440"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48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一般公共预算财政拨款</w:t>
            </w:r>
          </w:p>
        </w:tc>
        <w:tc>
          <w:tcPr>
            <w:tcW w:w="1157"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政府性基金预算财政拨款</w:t>
            </w:r>
          </w:p>
        </w:tc>
        <w:tc>
          <w:tcPr>
            <w:tcW w:w="1422"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国有资本经营预算财政拨款</w:t>
            </w:r>
          </w:p>
        </w:tc>
      </w:tr>
      <w:tr>
        <w:tblPrEx>
          <w:tblCellMar>
            <w:top w:w="0" w:type="dxa"/>
            <w:left w:w="108" w:type="dxa"/>
            <w:bottom w:w="0" w:type="dxa"/>
            <w:right w:w="108" w:type="dxa"/>
          </w:tblCellMar>
        </w:tblPrEx>
        <w:trPr>
          <w:trHeight w:val="312" w:hRule="atLeast"/>
        </w:trPr>
        <w:tc>
          <w:tcPr>
            <w:tcW w:w="3072"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54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22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326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482"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44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485"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157"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422"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6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540" w:type="dxa"/>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223"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w:t>
            </w: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482" w:type="dxa"/>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4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w:t>
            </w:r>
          </w:p>
        </w:tc>
        <w:tc>
          <w:tcPr>
            <w:tcW w:w="148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w:t>
            </w:r>
          </w:p>
        </w:tc>
        <w:tc>
          <w:tcPr>
            <w:tcW w:w="115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w:t>
            </w:r>
          </w:p>
        </w:tc>
        <w:tc>
          <w:tcPr>
            <w:tcW w:w="142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w:t>
            </w:r>
          </w:p>
        </w:tc>
      </w:tr>
      <w:tr>
        <w:tblPrEx>
          <w:tblCellMar>
            <w:top w:w="0" w:type="dxa"/>
            <w:left w:w="108" w:type="dxa"/>
            <w:bottom w:w="0" w:type="dxa"/>
            <w:right w:w="108" w:type="dxa"/>
          </w:tblCellMar>
        </w:tblPrEx>
        <w:trPr>
          <w:trHeight w:val="41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一、一般公共预算财政拨款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w:t>
            </w:r>
          </w:p>
        </w:tc>
        <w:tc>
          <w:tcPr>
            <w:tcW w:w="1223"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一、一般公共服务支出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33</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5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二、政府性基金预算财政拨款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w:t>
            </w:r>
          </w:p>
        </w:tc>
        <w:tc>
          <w:tcPr>
            <w:tcW w:w="1223"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二、外交支出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34</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1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三、国有资本经营财政拨款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三、国防支出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35</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0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四、公共安全支出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36</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9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五、教育支出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37</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2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六、科学技术支出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38</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5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7</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七、文化旅游体育与传媒支出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39</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3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8</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八、社会保障和就业支出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40</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5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9</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九、卫生健康支出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41</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6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10</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十、节能环保支出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42</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90" w:hRule="atLeast"/>
        </w:trPr>
        <w:tc>
          <w:tcPr>
            <w:tcW w:w="3072"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11</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十一、城乡社区支出</w:t>
            </w:r>
          </w:p>
        </w:tc>
        <w:tc>
          <w:tcPr>
            <w:tcW w:w="482"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43</w:t>
            </w:r>
          </w:p>
        </w:tc>
        <w:tc>
          <w:tcPr>
            <w:tcW w:w="1440"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22"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00" w:hRule="atLeast"/>
        </w:trPr>
        <w:tc>
          <w:tcPr>
            <w:tcW w:w="3072"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12</w:t>
            </w:r>
          </w:p>
        </w:tc>
        <w:tc>
          <w:tcPr>
            <w:tcW w:w="1223" w:type="dxa"/>
            <w:tcBorders>
              <w:top w:val="single" w:color="000000" w:sz="4" w:space="0"/>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十二、农林水支出</w:t>
            </w:r>
          </w:p>
        </w:tc>
        <w:tc>
          <w:tcPr>
            <w:tcW w:w="482" w:type="dxa"/>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44</w:t>
            </w:r>
          </w:p>
        </w:tc>
        <w:tc>
          <w:tcPr>
            <w:tcW w:w="1440" w:type="dxa"/>
            <w:tcBorders>
              <w:top w:val="single" w:color="000000" w:sz="4" w:space="0"/>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single" w:color="000000" w:sz="4" w:space="0"/>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single" w:color="000000" w:sz="4" w:space="0"/>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single" w:color="000000" w:sz="4" w:space="0"/>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2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13</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十三、交通运输支出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45</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9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14</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十四、资源勘探工业信息等支出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46</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8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15</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十五、商业服务业等支出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47</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8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16</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十六、金融支出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48</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8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17</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十七、援助其他地区支出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49</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2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18</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十八、自然资源海洋气象等支出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50</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9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19</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十九、住房保障支出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51</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1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20</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二十、粮油物资储备支出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52</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1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21</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二十一、国有资本经营预算支出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53</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138"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22</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二十二、灾害防治及应急管理支出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54</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6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23</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二十三、其他支出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55</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8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b/>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24</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二十四、债务还本支出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56</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2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25</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二十五、债务付息支出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57</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17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26</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二十六、抗疫特别国债安排的支出</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58</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186"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 w:val="20"/>
                <w:szCs w:val="20"/>
              </w:rPr>
            </w:pPr>
            <w:r>
              <w:rPr>
                <w:rFonts w:hint="eastAsia" w:ascii="仿宋_GB2312" w:hAnsi="仿宋_GB2312" w:eastAsia="仿宋_GB2312" w:cs="仿宋_GB2312"/>
                <w:b/>
                <w:color w:val="000000"/>
                <w:kern w:val="0"/>
                <w:sz w:val="20"/>
                <w:szCs w:val="20"/>
                <w:lang w:bidi="ar"/>
              </w:rPr>
              <w:t>本年收入合计</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27</w:t>
            </w:r>
          </w:p>
        </w:tc>
        <w:tc>
          <w:tcPr>
            <w:tcW w:w="1223"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 w:val="20"/>
                <w:szCs w:val="20"/>
              </w:rPr>
            </w:pPr>
            <w:r>
              <w:rPr>
                <w:rFonts w:hint="eastAsia" w:ascii="仿宋_GB2312" w:hAnsi="仿宋_GB2312" w:eastAsia="仿宋_GB2312" w:cs="仿宋_GB2312"/>
                <w:b/>
                <w:color w:val="000000"/>
                <w:kern w:val="0"/>
                <w:sz w:val="20"/>
                <w:szCs w:val="20"/>
                <w:lang w:bidi="ar"/>
              </w:rPr>
              <w:t>本年支出合计</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59</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6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年初财政拨款结转和结余</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28</w:t>
            </w:r>
          </w:p>
        </w:tc>
        <w:tc>
          <w:tcPr>
            <w:tcW w:w="1223"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年末财政拨款结转和结余</w:t>
            </w: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60</w:t>
            </w:r>
          </w:p>
        </w:tc>
        <w:tc>
          <w:tcPr>
            <w:tcW w:w="144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65"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 xml:space="preserve">  一般公共预算财政拨款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29</w:t>
            </w:r>
          </w:p>
        </w:tc>
        <w:tc>
          <w:tcPr>
            <w:tcW w:w="1223"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61</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5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 xml:space="preserve">  政府性基金预算财政拨款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30</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62</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23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 xml:space="preserve">  国有资本经营预算财政拨款</w:t>
            </w:r>
          </w:p>
        </w:tc>
        <w:tc>
          <w:tcPr>
            <w:tcW w:w="54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31</w:t>
            </w:r>
          </w:p>
        </w:tc>
        <w:tc>
          <w:tcPr>
            <w:tcW w:w="1223" w:type="dxa"/>
            <w:tcBorders>
              <w:top w:val="nil"/>
              <w:left w:val="nil"/>
              <w:bottom w:val="single" w:color="000000" w:sz="4" w:space="0"/>
              <w:right w:val="single" w:color="000000" w:sz="4" w:space="0"/>
            </w:tcBorders>
            <w:shd w:val="clear" w:color="auto" w:fill="auto"/>
            <w:noWrap/>
            <w:vAlign w:val="center"/>
          </w:tcPr>
          <w:p>
            <w:pPr>
              <w:jc w:val="right"/>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jc w:val="left"/>
              <w:rPr>
                <w:rFonts w:ascii="仿宋_GB2312" w:hAnsi="仿宋_GB2312" w:eastAsia="仿宋_GB2312" w:cs="仿宋_GB2312"/>
                <w:color w:val="000000"/>
                <w:sz w:val="20"/>
                <w:szCs w:val="20"/>
              </w:rPr>
            </w:pPr>
          </w:p>
        </w:tc>
        <w:tc>
          <w:tcPr>
            <w:tcW w:w="48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63</w:t>
            </w:r>
          </w:p>
        </w:tc>
        <w:tc>
          <w:tcPr>
            <w:tcW w:w="144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140" w:hRule="atLeast"/>
        </w:trPr>
        <w:tc>
          <w:tcPr>
            <w:tcW w:w="3072"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 w:lineRule="atLeast"/>
              <w:jc w:val="center"/>
              <w:textAlignment w:val="center"/>
              <w:rPr>
                <w:rFonts w:ascii="仿宋_GB2312" w:hAnsi="仿宋_GB2312" w:eastAsia="仿宋_GB2312" w:cs="仿宋_GB2312"/>
                <w:b/>
                <w:color w:val="000000"/>
                <w:sz w:val="20"/>
                <w:szCs w:val="20"/>
              </w:rPr>
            </w:pPr>
            <w:r>
              <w:rPr>
                <w:rFonts w:hint="eastAsia" w:ascii="仿宋_GB2312" w:hAnsi="仿宋_GB2312" w:eastAsia="仿宋_GB2312" w:cs="仿宋_GB2312"/>
                <w:b/>
                <w:color w:val="000000"/>
                <w:kern w:val="0"/>
                <w:sz w:val="20"/>
                <w:szCs w:val="20"/>
                <w:lang w:bidi="ar"/>
              </w:rPr>
              <w:t>总计</w:t>
            </w:r>
          </w:p>
        </w:tc>
        <w:tc>
          <w:tcPr>
            <w:tcW w:w="540" w:type="dxa"/>
            <w:tcBorders>
              <w:top w:val="nil"/>
              <w:left w:val="nil"/>
              <w:bottom w:val="single" w:color="000000" w:sz="8" w:space="0"/>
              <w:right w:val="single" w:color="000000" w:sz="4" w:space="0"/>
            </w:tcBorders>
            <w:shd w:val="clear" w:color="FFFFFF" w:fill="C0C0C0"/>
            <w:noWrap/>
            <w:vAlign w:val="center"/>
          </w:tcPr>
          <w:p>
            <w:pPr>
              <w:widowControl/>
              <w:spacing w:line="20" w:lineRule="atLeast"/>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32</w:t>
            </w:r>
          </w:p>
        </w:tc>
        <w:tc>
          <w:tcPr>
            <w:tcW w:w="1223" w:type="dxa"/>
            <w:tcBorders>
              <w:top w:val="nil"/>
              <w:left w:val="nil"/>
              <w:bottom w:val="single" w:color="000000" w:sz="4" w:space="0"/>
              <w:right w:val="single" w:color="000000" w:sz="4" w:space="0"/>
            </w:tcBorders>
            <w:shd w:val="clear" w:color="auto" w:fill="auto"/>
            <w:noWrap/>
            <w:vAlign w:val="center"/>
          </w:tcPr>
          <w:p>
            <w:pPr>
              <w:widowControl/>
              <w:spacing w:line="20" w:lineRule="atLeast"/>
              <w:jc w:val="right"/>
              <w:textAlignment w:val="center"/>
              <w:rPr>
                <w:rFonts w:ascii="仿宋_GB2312" w:hAnsi="仿宋_GB2312" w:eastAsia="仿宋_GB2312" w:cs="仿宋_GB2312"/>
                <w:color w:val="000000"/>
                <w:sz w:val="20"/>
                <w:szCs w:val="20"/>
              </w:rPr>
            </w:pPr>
          </w:p>
        </w:tc>
        <w:tc>
          <w:tcPr>
            <w:tcW w:w="3260" w:type="dxa"/>
            <w:tcBorders>
              <w:top w:val="nil"/>
              <w:left w:val="nil"/>
              <w:bottom w:val="single" w:color="000000" w:sz="4" w:space="0"/>
              <w:right w:val="single" w:color="000000" w:sz="4" w:space="0"/>
            </w:tcBorders>
            <w:shd w:val="clear" w:color="FFFFFF" w:fill="C0C0C0"/>
            <w:noWrap/>
            <w:vAlign w:val="center"/>
          </w:tcPr>
          <w:p>
            <w:pPr>
              <w:widowControl/>
              <w:spacing w:line="20" w:lineRule="atLeast"/>
              <w:jc w:val="center"/>
              <w:textAlignment w:val="center"/>
              <w:rPr>
                <w:rFonts w:ascii="仿宋_GB2312" w:hAnsi="仿宋_GB2312" w:eastAsia="仿宋_GB2312" w:cs="仿宋_GB2312"/>
                <w:b/>
                <w:color w:val="000000"/>
                <w:sz w:val="20"/>
                <w:szCs w:val="20"/>
              </w:rPr>
            </w:pPr>
            <w:r>
              <w:rPr>
                <w:rFonts w:hint="eastAsia" w:ascii="仿宋_GB2312" w:hAnsi="仿宋_GB2312" w:eastAsia="仿宋_GB2312" w:cs="仿宋_GB2312"/>
                <w:b/>
                <w:color w:val="000000"/>
                <w:kern w:val="0"/>
                <w:sz w:val="20"/>
                <w:szCs w:val="20"/>
                <w:lang w:bidi="ar"/>
              </w:rPr>
              <w:t>总计</w:t>
            </w:r>
          </w:p>
        </w:tc>
        <w:tc>
          <w:tcPr>
            <w:tcW w:w="482" w:type="dxa"/>
            <w:tcBorders>
              <w:top w:val="nil"/>
              <w:left w:val="nil"/>
              <w:bottom w:val="single" w:color="000000" w:sz="4" w:space="0"/>
              <w:right w:val="single" w:color="000000" w:sz="4" w:space="0"/>
            </w:tcBorders>
            <w:shd w:val="clear" w:color="FFFFFF" w:fill="C0C0C0"/>
            <w:noWrap/>
            <w:vAlign w:val="center"/>
          </w:tcPr>
          <w:p>
            <w:pPr>
              <w:widowControl/>
              <w:spacing w:line="20" w:lineRule="atLeast"/>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64</w:t>
            </w:r>
          </w:p>
        </w:tc>
        <w:tc>
          <w:tcPr>
            <w:tcW w:w="1440" w:type="dxa"/>
            <w:tcBorders>
              <w:top w:val="nil"/>
              <w:left w:val="nil"/>
              <w:bottom w:val="single" w:color="000000" w:sz="4" w:space="0"/>
              <w:right w:val="single" w:color="000000" w:sz="4" w:space="0"/>
            </w:tcBorders>
            <w:noWrap/>
            <w:vAlign w:val="center"/>
          </w:tcPr>
          <w:p>
            <w:pPr>
              <w:widowControl/>
              <w:spacing w:line="20" w:lineRule="atLeast"/>
              <w:jc w:val="right"/>
              <w:textAlignment w:val="center"/>
              <w:rPr>
                <w:rFonts w:ascii="仿宋_GB2312" w:hAnsi="仿宋_GB2312" w:eastAsia="仿宋_GB2312" w:cs="仿宋_GB2312"/>
                <w:color w:val="000000"/>
                <w:sz w:val="20"/>
                <w:szCs w:val="20"/>
              </w:rPr>
            </w:pPr>
          </w:p>
        </w:tc>
        <w:tc>
          <w:tcPr>
            <w:tcW w:w="1485" w:type="dxa"/>
            <w:tcBorders>
              <w:top w:val="nil"/>
              <w:left w:val="nil"/>
              <w:bottom w:val="single" w:color="000000" w:sz="4" w:space="0"/>
              <w:right w:val="single" w:color="000000" w:sz="4" w:space="0"/>
            </w:tcBorders>
            <w:noWrap/>
            <w:vAlign w:val="center"/>
          </w:tcPr>
          <w:p>
            <w:pPr>
              <w:widowControl/>
              <w:spacing w:line="20" w:lineRule="atLeast"/>
              <w:jc w:val="right"/>
              <w:textAlignment w:val="center"/>
              <w:rPr>
                <w:rFonts w:ascii="仿宋_GB2312" w:hAnsi="仿宋_GB2312" w:eastAsia="仿宋_GB2312" w:cs="仿宋_GB2312"/>
                <w:color w:val="000000"/>
                <w:sz w:val="20"/>
                <w:szCs w:val="20"/>
              </w:rPr>
            </w:pPr>
          </w:p>
        </w:tc>
        <w:tc>
          <w:tcPr>
            <w:tcW w:w="1157" w:type="dxa"/>
            <w:tcBorders>
              <w:top w:val="nil"/>
              <w:left w:val="nil"/>
              <w:bottom w:val="single" w:color="000000" w:sz="4" w:space="0"/>
              <w:right w:val="single" w:color="000000" w:sz="4" w:space="0"/>
            </w:tcBorders>
            <w:noWrap/>
            <w:vAlign w:val="center"/>
          </w:tcPr>
          <w:p>
            <w:pPr>
              <w:widowControl/>
              <w:spacing w:line="20" w:lineRule="atLeast"/>
              <w:jc w:val="right"/>
              <w:textAlignment w:val="center"/>
              <w:rPr>
                <w:rFonts w:ascii="仿宋_GB2312" w:hAnsi="仿宋_GB2312" w:eastAsia="仿宋_GB2312" w:cs="仿宋_GB2312"/>
                <w:color w:val="000000"/>
                <w:sz w:val="20"/>
                <w:szCs w:val="20"/>
              </w:rPr>
            </w:pPr>
          </w:p>
        </w:tc>
        <w:tc>
          <w:tcPr>
            <w:tcW w:w="1422" w:type="dxa"/>
            <w:tcBorders>
              <w:top w:val="nil"/>
              <w:left w:val="nil"/>
              <w:bottom w:val="single" w:color="000000" w:sz="4" w:space="0"/>
              <w:right w:val="single" w:color="000000" w:sz="4" w:space="0"/>
            </w:tcBorders>
            <w:noWrap/>
            <w:vAlign w:val="center"/>
          </w:tcPr>
          <w:p>
            <w:pPr>
              <w:spacing w:line="20" w:lineRule="atLeast"/>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gridAfter w:val="1"/>
          <w:wAfter w:w="1422" w:type="dxa"/>
          <w:trHeight w:val="340" w:hRule="atLeast"/>
        </w:trPr>
        <w:tc>
          <w:tcPr>
            <w:tcW w:w="12659" w:type="dxa"/>
            <w:gridSpan w:val="8"/>
            <w:tcBorders>
              <w:top w:val="nil"/>
              <w:left w:val="nil"/>
              <w:bottom w:val="nil"/>
              <w:right w:val="nil"/>
            </w:tcBorders>
            <w:noWrap/>
            <w:vAlign w:val="center"/>
          </w:tcPr>
          <w:p>
            <w:pPr>
              <w:widowControl/>
              <w:spacing w:line="40" w:lineRule="atLeast"/>
              <w:jc w:val="left"/>
              <w:textAlignment w:val="center"/>
              <w:rPr>
                <w:rFonts w:ascii="仿宋_GB2312" w:hAnsi="仿宋_GB2312" w:eastAsia="仿宋_GB2312" w:cs="仿宋_GB2312"/>
                <w:color w:val="000000"/>
                <w:kern w:val="0"/>
                <w:sz w:val="20"/>
                <w:szCs w:val="20"/>
                <w:lang w:bidi="ar"/>
              </w:rPr>
            </w:pPr>
            <w:r>
              <w:rPr>
                <w:rFonts w:hint="eastAsia" w:ascii="仿宋_GB2312" w:hAnsi="仿宋_GB2312" w:eastAsia="仿宋_GB2312" w:cs="仿宋_GB2312"/>
                <w:color w:val="000000"/>
                <w:kern w:val="0"/>
                <w:sz w:val="20"/>
                <w:szCs w:val="20"/>
                <w:lang w:bidi="ar"/>
              </w:rPr>
              <w:t>注：本表反映部门本年度一般公共预算财政拨款、政府性基金预算财政拨款和国有资本经营预算财政拨款的总收支和年末结转结余情况。</w:t>
            </w:r>
          </w:p>
          <w:p>
            <w:pPr>
              <w:pStyle w:val="2"/>
              <w:rPr>
                <w:lang w:bidi="ar"/>
              </w:rPr>
            </w:pPr>
            <w:r>
              <w:rPr>
                <w:rFonts w:hint="eastAsia"/>
                <w:lang w:bidi="ar"/>
              </w:rPr>
              <w:t>说明：大同市妇女儿童教育中心没有财政拨款，故本表无数据</w:t>
            </w:r>
          </w:p>
        </w:tc>
      </w:tr>
    </w:tbl>
    <w:p>
      <w:pPr>
        <w:pStyle w:val="3"/>
        <w:spacing w:line="600" w:lineRule="exact"/>
        <w:ind w:left="0" w:leftChars="0"/>
        <w:rPr>
          <w:rFonts w:ascii="黑体" w:hAnsi="黑体" w:eastAsia="黑体" w:cs="黑体"/>
          <w:sz w:val="32"/>
          <w:szCs w:val="32"/>
        </w:rPr>
        <w:sectPr>
          <w:pgSz w:w="16838" w:h="11906" w:orient="landscape"/>
          <w:pgMar w:top="1800" w:right="1440" w:bottom="1800" w:left="1440" w:header="851" w:footer="992" w:gutter="0"/>
          <w:cols w:space="720" w:num="1"/>
          <w:docGrid w:type="lines" w:linePitch="312" w:charSpace="0"/>
        </w:sectPr>
      </w:pPr>
    </w:p>
    <w:tbl>
      <w:tblPr>
        <w:tblStyle w:val="6"/>
        <w:tblW w:w="13880" w:type="dxa"/>
        <w:tblInd w:w="93" w:type="dxa"/>
        <w:tblLayout w:type="autofit"/>
        <w:tblCellMar>
          <w:top w:w="0" w:type="dxa"/>
          <w:left w:w="108" w:type="dxa"/>
          <w:bottom w:w="0" w:type="dxa"/>
          <w:right w:w="108" w:type="dxa"/>
        </w:tblCellMar>
      </w:tblPr>
      <w:tblGrid>
        <w:gridCol w:w="3996"/>
        <w:gridCol w:w="222"/>
        <w:gridCol w:w="240"/>
        <w:gridCol w:w="4181"/>
        <w:gridCol w:w="1758"/>
        <w:gridCol w:w="1743"/>
        <w:gridCol w:w="1740"/>
      </w:tblGrid>
      <w:tr>
        <w:tblPrEx>
          <w:tblCellMar>
            <w:top w:w="0" w:type="dxa"/>
            <w:left w:w="108" w:type="dxa"/>
            <w:bottom w:w="0" w:type="dxa"/>
            <w:right w:w="108" w:type="dxa"/>
          </w:tblCellMar>
        </w:tblPrEx>
        <w:trPr>
          <w:trHeight w:val="249" w:hRule="atLeast"/>
        </w:trPr>
        <w:tc>
          <w:tcPr>
            <w:tcW w:w="13880" w:type="dxa"/>
            <w:gridSpan w:val="7"/>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一般公共预算财政拨款支出决算表（一）</w:t>
            </w:r>
          </w:p>
        </w:tc>
      </w:tr>
      <w:tr>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4181" w:type="dxa"/>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公开05表</w:t>
            </w:r>
          </w:p>
        </w:tc>
      </w:tr>
      <w:tr>
        <w:tblPrEx>
          <w:tblCellMar>
            <w:top w:w="0" w:type="dxa"/>
            <w:left w:w="108" w:type="dxa"/>
            <w:bottom w:w="0" w:type="dxa"/>
            <w:right w:w="108" w:type="dxa"/>
          </w:tblCellMar>
        </w:tblPrEx>
        <w:trPr>
          <w:trHeight w:val="90" w:hRule="atLeast"/>
        </w:trPr>
        <w:tc>
          <w:tcPr>
            <w:tcW w:w="0" w:type="auto"/>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4181" w:type="dxa"/>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5241" w:type="dxa"/>
            <w:gridSpan w:val="3"/>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本年支出</w:t>
            </w:r>
          </w:p>
        </w:tc>
      </w:tr>
      <w:tr>
        <w:tblPrEx>
          <w:tblCellMar>
            <w:top w:w="0" w:type="dxa"/>
            <w:left w:w="108" w:type="dxa"/>
            <w:bottom w:w="0" w:type="dxa"/>
            <w:right w:w="108" w:type="dxa"/>
          </w:tblCellMar>
        </w:tblPrEx>
        <w:trPr>
          <w:trHeight w:val="312" w:hRule="atLeast"/>
        </w:trPr>
        <w:tc>
          <w:tcPr>
            <w:tcW w:w="445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功能分类科目编码</w:t>
            </w:r>
          </w:p>
        </w:tc>
        <w:tc>
          <w:tcPr>
            <w:tcW w:w="4181"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1758"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小计</w:t>
            </w:r>
          </w:p>
        </w:tc>
        <w:tc>
          <w:tcPr>
            <w:tcW w:w="1743"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基本支出</w:t>
            </w:r>
          </w:p>
        </w:tc>
        <w:tc>
          <w:tcPr>
            <w:tcW w:w="174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项目支出</w:t>
            </w:r>
          </w:p>
        </w:tc>
      </w:tr>
      <w:tr>
        <w:tblPrEx>
          <w:tblCellMar>
            <w:top w:w="0" w:type="dxa"/>
            <w:left w:w="108" w:type="dxa"/>
            <w:bottom w:w="0" w:type="dxa"/>
            <w:right w:w="108" w:type="dxa"/>
          </w:tblCellMar>
        </w:tblPrEx>
        <w:trPr>
          <w:trHeight w:val="312" w:hRule="atLeast"/>
        </w:trPr>
        <w:tc>
          <w:tcPr>
            <w:tcW w:w="445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4181"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758"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74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74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12" w:hRule="atLeast"/>
        </w:trPr>
        <w:tc>
          <w:tcPr>
            <w:tcW w:w="445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4181"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 w:val="20"/>
                <w:szCs w:val="20"/>
              </w:rPr>
            </w:pPr>
          </w:p>
        </w:tc>
        <w:tc>
          <w:tcPr>
            <w:tcW w:w="1758"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74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c>
          <w:tcPr>
            <w:tcW w:w="174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447"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1</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2</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3</w:t>
            </w:r>
          </w:p>
        </w:tc>
      </w:tr>
      <w:tr>
        <w:tblPrEx>
          <w:tblCellMar>
            <w:top w:w="0" w:type="dxa"/>
            <w:left w:w="108" w:type="dxa"/>
            <w:bottom w:w="0" w:type="dxa"/>
            <w:right w:w="108" w:type="dxa"/>
          </w:tblCellMar>
        </w:tblPrEx>
        <w:trPr>
          <w:trHeight w:val="522"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合计</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 w:val="20"/>
                <w:szCs w:val="20"/>
              </w:rPr>
            </w:pPr>
          </w:p>
        </w:tc>
      </w:tr>
      <w:tr>
        <w:tblPrEx>
          <w:tblCellMar>
            <w:top w:w="0" w:type="dxa"/>
            <w:left w:w="108" w:type="dxa"/>
            <w:bottom w:w="0" w:type="dxa"/>
            <w:right w:w="108" w:type="dxa"/>
          </w:tblCellMar>
        </w:tblPrEx>
        <w:trPr>
          <w:trHeight w:val="462" w:hRule="atLeast"/>
        </w:trPr>
        <w:tc>
          <w:tcPr>
            <w:tcW w:w="445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4181"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537" w:hRule="atLeast"/>
        </w:trPr>
        <w:tc>
          <w:tcPr>
            <w:tcW w:w="445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4181"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507" w:hRule="atLeast"/>
        </w:trPr>
        <w:tc>
          <w:tcPr>
            <w:tcW w:w="445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4181"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 w:val="20"/>
                <w:szCs w:val="20"/>
              </w:rPr>
            </w:pP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 w:val="20"/>
                <w:szCs w:val="20"/>
              </w:rPr>
            </w:pPr>
          </w:p>
        </w:tc>
      </w:tr>
      <w:tr>
        <w:tblPrEx>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noWrap/>
            <w:vAlign w:val="center"/>
          </w:tcPr>
          <w:p>
            <w:pPr>
              <w:widowControl/>
              <w:jc w:val="left"/>
              <w:textAlignment w:val="center"/>
              <w:rPr>
                <w:rFonts w:ascii="仿宋_GB2312" w:hAnsi="仿宋_GB2312" w:eastAsia="仿宋_GB2312" w:cs="仿宋_GB2312"/>
                <w:color w:val="000000"/>
                <w:kern w:val="0"/>
                <w:sz w:val="20"/>
                <w:szCs w:val="20"/>
                <w:lang w:bidi="ar"/>
              </w:rPr>
            </w:pPr>
            <w:r>
              <w:rPr>
                <w:rFonts w:hint="eastAsia" w:ascii="仿宋_GB2312" w:hAnsi="仿宋_GB2312" w:eastAsia="仿宋_GB2312" w:cs="仿宋_GB2312"/>
                <w:color w:val="000000"/>
                <w:kern w:val="0"/>
                <w:sz w:val="20"/>
                <w:szCs w:val="20"/>
                <w:lang w:bidi="ar"/>
              </w:rPr>
              <w:t>注：本表反映部门本年度一般公共预算财政拨款支出情况。</w:t>
            </w:r>
          </w:p>
          <w:p>
            <w:pPr>
              <w:widowControl/>
              <w:jc w:val="left"/>
              <w:textAlignment w:val="center"/>
              <w:rPr>
                <w:rFonts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说明：大同市妇女儿童教育中心没有一般公共预算财政拨款支出，故本表无数据。</w:t>
            </w:r>
          </w:p>
        </w:tc>
      </w:tr>
    </w:tbl>
    <w:p>
      <w:pPr>
        <w:pStyle w:val="3"/>
        <w:spacing w:line="600" w:lineRule="exact"/>
        <w:ind w:left="0" w:leftChars="0"/>
        <w:rPr>
          <w:rFonts w:ascii="黑体" w:hAnsi="黑体" w:eastAsia="黑体" w:cs="黑体"/>
          <w:sz w:val="32"/>
          <w:szCs w:val="32"/>
        </w:rPr>
        <w:sectPr>
          <w:pgSz w:w="16838" w:h="11906" w:orient="landscape"/>
          <w:pgMar w:top="1800" w:right="1440" w:bottom="1800" w:left="1440" w:header="851" w:footer="992" w:gutter="0"/>
          <w:cols w:space="720" w:num="1"/>
          <w:docGrid w:type="lines" w:linePitch="312" w:charSpace="0"/>
        </w:sectPr>
      </w:pPr>
    </w:p>
    <w:tbl>
      <w:tblPr>
        <w:tblStyle w:val="6"/>
        <w:tblW w:w="10401" w:type="dxa"/>
        <w:tblInd w:w="93" w:type="dxa"/>
        <w:tblLayout w:type="fixed"/>
        <w:tblCellMar>
          <w:top w:w="0" w:type="dxa"/>
          <w:left w:w="108" w:type="dxa"/>
          <w:bottom w:w="0" w:type="dxa"/>
          <w:right w:w="108" w:type="dxa"/>
        </w:tblCellMar>
      </w:tblPr>
      <w:tblGrid>
        <w:gridCol w:w="1371"/>
        <w:gridCol w:w="3570"/>
        <w:gridCol w:w="2925"/>
        <w:gridCol w:w="2535"/>
      </w:tblGrid>
      <w:tr>
        <w:tblPrEx>
          <w:tblCellMar>
            <w:top w:w="0" w:type="dxa"/>
            <w:left w:w="108" w:type="dxa"/>
            <w:bottom w:w="0" w:type="dxa"/>
            <w:right w:w="108" w:type="dxa"/>
          </w:tblCellMar>
        </w:tblPrEx>
        <w:trPr>
          <w:trHeight w:val="330" w:hRule="atLeast"/>
        </w:trPr>
        <w:tc>
          <w:tcPr>
            <w:tcW w:w="10401" w:type="dxa"/>
            <w:gridSpan w:val="4"/>
            <w:tcBorders>
              <w:top w:val="nil"/>
              <w:left w:val="nil"/>
              <w:bottom w:val="nil"/>
              <w:right w:val="nil"/>
            </w:tcBorders>
            <w:noWrap/>
            <w:vAlign w:val="bottom"/>
          </w:tcPr>
          <w:p>
            <w:pPr>
              <w:jc w:val="center"/>
              <w:rPr>
                <w:rFonts w:ascii="Arial" w:hAnsi="Arial" w:cs="Arial"/>
                <w:color w:val="000000"/>
                <w:sz w:val="20"/>
                <w:szCs w:val="20"/>
              </w:rPr>
            </w:pPr>
            <w:r>
              <w:rPr>
                <w:rFonts w:hint="eastAsia" w:ascii="方正小标宋简体" w:hAnsi="方正小标宋简体" w:eastAsia="方正小标宋简体" w:cs="方正小标宋简体"/>
                <w:color w:val="000000"/>
                <w:kern w:val="0"/>
                <w:sz w:val="36"/>
                <w:szCs w:val="36"/>
                <w:lang w:bidi="ar"/>
              </w:rPr>
              <w:t>一般公共预算财政拨款基本支出决算表（二）</w:t>
            </w:r>
          </w:p>
        </w:tc>
      </w:tr>
      <w:tr>
        <w:tblPrEx>
          <w:tblCellMar>
            <w:top w:w="0" w:type="dxa"/>
            <w:left w:w="108" w:type="dxa"/>
            <w:bottom w:w="0" w:type="dxa"/>
            <w:right w:w="108" w:type="dxa"/>
          </w:tblCellMar>
        </w:tblPrEx>
        <w:trPr>
          <w:trHeight w:val="330" w:hRule="atLeast"/>
        </w:trPr>
        <w:tc>
          <w:tcPr>
            <w:tcW w:w="4941" w:type="dxa"/>
            <w:gridSpan w:val="2"/>
            <w:tcBorders>
              <w:top w:val="nil"/>
              <w:left w:val="nil"/>
              <w:bottom w:val="nil"/>
              <w:right w:val="nil"/>
            </w:tcBorders>
            <w:noWrap/>
            <w:vAlign w:val="bottom"/>
          </w:tcPr>
          <w:p>
            <w:pPr>
              <w:rPr>
                <w:rFonts w:ascii="黑体" w:hAnsi="黑体" w:eastAsia="黑体" w:cs="黑体"/>
                <w:color w:val="000000"/>
                <w:kern w:val="0"/>
                <w:szCs w:val="21"/>
                <w:lang w:bidi="ar"/>
              </w:rPr>
            </w:pPr>
          </w:p>
        </w:tc>
        <w:tc>
          <w:tcPr>
            <w:tcW w:w="2925" w:type="dxa"/>
            <w:tcBorders>
              <w:top w:val="nil"/>
              <w:left w:val="nil"/>
              <w:bottom w:val="nil"/>
              <w:right w:val="nil"/>
            </w:tcBorders>
            <w:noWrap/>
            <w:vAlign w:val="bottom"/>
          </w:tcPr>
          <w:p>
            <w:pPr>
              <w:rPr>
                <w:rFonts w:ascii="黑体" w:hAnsi="黑体" w:eastAsia="黑体" w:cs="黑体"/>
                <w:color w:val="000000"/>
                <w:szCs w:val="21"/>
              </w:rPr>
            </w:pPr>
          </w:p>
        </w:tc>
        <w:tc>
          <w:tcPr>
            <w:tcW w:w="2535" w:type="dxa"/>
            <w:tcBorders>
              <w:top w:val="nil"/>
              <w:left w:val="nil"/>
              <w:bottom w:val="nil"/>
              <w:right w:val="nil"/>
            </w:tcBorders>
            <w:noWrap/>
            <w:vAlign w:val="bottom"/>
          </w:tcPr>
          <w:p>
            <w:pPr>
              <w:ind w:firstLine="552"/>
              <w:jc w:val="right"/>
              <w:rPr>
                <w:rFonts w:ascii="黑体" w:hAnsi="黑体" w:eastAsia="黑体" w:cs="黑体"/>
                <w:color w:val="000000"/>
                <w:szCs w:val="21"/>
              </w:rPr>
            </w:pPr>
            <w:r>
              <w:rPr>
                <w:rFonts w:hint="eastAsia" w:ascii="黑体" w:hAnsi="黑体" w:eastAsia="黑体" w:cs="黑体"/>
                <w:color w:val="000000"/>
                <w:szCs w:val="21"/>
              </w:rPr>
              <w:t>公开06-1表</w:t>
            </w:r>
          </w:p>
        </w:tc>
      </w:tr>
      <w:tr>
        <w:tblPrEx>
          <w:tblCellMar>
            <w:top w:w="0" w:type="dxa"/>
            <w:left w:w="108" w:type="dxa"/>
            <w:bottom w:w="0" w:type="dxa"/>
            <w:right w:w="108" w:type="dxa"/>
          </w:tblCellMar>
        </w:tblPrEx>
        <w:trPr>
          <w:trHeight w:val="330" w:hRule="atLeast"/>
        </w:trPr>
        <w:tc>
          <w:tcPr>
            <w:tcW w:w="4941" w:type="dxa"/>
            <w:gridSpan w:val="2"/>
            <w:tcBorders>
              <w:top w:val="nil"/>
              <w:left w:val="nil"/>
              <w:bottom w:val="nil"/>
              <w:right w:val="nil"/>
            </w:tcBorders>
            <w:noWrap/>
            <w:vAlign w:val="bottom"/>
          </w:tcPr>
          <w:p>
            <w:pPr>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925" w:type="dxa"/>
            <w:tcBorders>
              <w:top w:val="nil"/>
              <w:left w:val="nil"/>
              <w:bottom w:val="nil"/>
              <w:right w:val="nil"/>
            </w:tcBorders>
            <w:noWrap/>
            <w:vAlign w:val="bottom"/>
          </w:tcPr>
          <w:p>
            <w:pPr>
              <w:rPr>
                <w:rFonts w:ascii="黑体" w:hAnsi="黑体" w:eastAsia="黑体" w:cs="黑体"/>
                <w:color w:val="000000"/>
                <w:szCs w:val="21"/>
              </w:rPr>
            </w:pPr>
          </w:p>
        </w:tc>
        <w:tc>
          <w:tcPr>
            <w:tcW w:w="2535" w:type="dxa"/>
            <w:tcBorders>
              <w:top w:val="nil"/>
              <w:left w:val="nil"/>
              <w:bottom w:val="nil"/>
              <w:right w:val="nil"/>
            </w:tcBorders>
            <w:noWrap/>
            <w:vAlign w:val="bottom"/>
          </w:tcPr>
          <w:p>
            <w:pPr>
              <w:ind w:firstLine="552"/>
              <w:jc w:val="right"/>
              <w:rPr>
                <w:rFonts w:ascii="黑体" w:hAnsi="黑体" w:eastAsia="黑体" w:cs="黑体"/>
                <w:color w:val="000000"/>
                <w:szCs w:val="21"/>
              </w:rPr>
            </w:pPr>
            <w:r>
              <w:rPr>
                <w:rFonts w:hint="eastAsia" w:ascii="黑体" w:hAnsi="黑体" w:eastAsia="黑体" w:cs="黑体"/>
                <w:color w:val="000000"/>
                <w:szCs w:val="21"/>
              </w:rPr>
              <w:t>金额单位：元</w:t>
            </w:r>
          </w:p>
        </w:tc>
      </w:tr>
      <w:tr>
        <w:tblPrEx>
          <w:tblCellMar>
            <w:top w:w="0" w:type="dxa"/>
            <w:left w:w="108" w:type="dxa"/>
            <w:bottom w:w="0" w:type="dxa"/>
            <w:right w:w="108" w:type="dxa"/>
          </w:tblCellMar>
        </w:tblPrEx>
        <w:trPr>
          <w:trHeight w:val="427" w:hRule="atLeast"/>
        </w:trPr>
        <w:tc>
          <w:tcPr>
            <w:tcW w:w="10401"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人员经费</w:t>
            </w:r>
          </w:p>
        </w:tc>
      </w:tr>
      <w:tr>
        <w:tblPrEx>
          <w:tblCellMar>
            <w:top w:w="0" w:type="dxa"/>
            <w:left w:w="108" w:type="dxa"/>
            <w:bottom w:w="0" w:type="dxa"/>
            <w:right w:w="108" w:type="dxa"/>
          </w:tblCellMar>
        </w:tblPrEx>
        <w:trPr>
          <w:trHeight w:val="312" w:hRule="atLeast"/>
        </w:trPr>
        <w:tc>
          <w:tcPr>
            <w:tcW w:w="1371"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科目编码</w:t>
            </w:r>
          </w:p>
        </w:tc>
        <w:tc>
          <w:tcPr>
            <w:tcW w:w="357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292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金额</w:t>
            </w:r>
          </w:p>
        </w:tc>
        <w:tc>
          <w:tcPr>
            <w:tcW w:w="253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其中：基本支出</w:t>
            </w:r>
          </w:p>
        </w:tc>
      </w:tr>
      <w:tr>
        <w:tblPrEx>
          <w:tblCellMar>
            <w:top w:w="0" w:type="dxa"/>
            <w:left w:w="108" w:type="dxa"/>
            <w:bottom w:w="0" w:type="dxa"/>
            <w:right w:w="108" w:type="dxa"/>
          </w:tblCellMar>
        </w:tblPrEx>
        <w:trPr>
          <w:trHeight w:val="312" w:hRule="atLeast"/>
        </w:trPr>
        <w:tc>
          <w:tcPr>
            <w:tcW w:w="1371"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357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2925"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2535"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4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301</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工资福利支出</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30101</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基本工资</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4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30102</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津贴补贴</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30103</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奖金</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4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30106</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伙食补助费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30107</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绩效工资</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30108</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机关事业单位基本养老保险缴费</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3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30109</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职业年金缴费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30110</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职工基本医疗保险缴费</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30111</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公务员医疗补助缴费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0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30112</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其他社会保障缴费</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30113</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住房公积金</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30114</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医疗费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30199</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其他工资福利支出</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303</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对个人和家庭的补助</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0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30301</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离休费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30302</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退休费</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5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30303</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退职（役）费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30304</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抚恤金</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7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30305</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生活补助</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7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30306</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救济费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5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30307</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医疗费补助</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30308</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助学金</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30309</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奖励金</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7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30310</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个人农业生产补贴</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42"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30311</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代缴社会保险费</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87" w:hRule="atLeast"/>
        </w:trPr>
        <w:tc>
          <w:tcPr>
            <w:tcW w:w="1371" w:type="dxa"/>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30399</w:t>
            </w:r>
          </w:p>
        </w:tc>
        <w:tc>
          <w:tcPr>
            <w:tcW w:w="3570" w:type="dxa"/>
            <w:tcBorders>
              <w:top w:val="nil"/>
              <w:left w:val="nil"/>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 xml:space="preserve">  其他对个人和家庭的补助</w:t>
            </w:r>
          </w:p>
        </w:tc>
        <w:tc>
          <w:tcPr>
            <w:tcW w:w="29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07" w:hRule="atLeast"/>
        </w:trPr>
        <w:tc>
          <w:tcPr>
            <w:tcW w:w="4941" w:type="dxa"/>
            <w:gridSpan w:val="2"/>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人员经费合计</w:t>
            </w:r>
          </w:p>
        </w:tc>
        <w:tc>
          <w:tcPr>
            <w:tcW w:w="292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2535"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r>
    </w:tbl>
    <w:p>
      <w:pPr>
        <w:pStyle w:val="3"/>
        <w:spacing w:line="240" w:lineRule="auto"/>
        <w:ind w:left="0" w:leftChars="0"/>
        <w:rPr>
          <w:rFonts w:ascii="仿宋_GB2312" w:hAnsi="仿宋_GB2312" w:eastAsia="仿宋_GB2312" w:cs="仿宋_GB2312"/>
          <w:sz w:val="20"/>
          <w:szCs w:val="20"/>
        </w:rPr>
      </w:pPr>
      <w:r>
        <w:rPr>
          <w:rFonts w:hint="eastAsia" w:ascii="仿宋_GB2312" w:hAnsi="仿宋_GB2312" w:eastAsia="仿宋_GB2312" w:cs="仿宋_GB2312"/>
          <w:sz w:val="20"/>
          <w:szCs w:val="20"/>
        </w:rPr>
        <w:t>注：本表反映部门本年度一般公共预算财政拨款支出明细情况（其中包括基本支出明细情况）。</w:t>
      </w:r>
    </w:p>
    <w:p>
      <w:pPr>
        <w:pStyle w:val="3"/>
        <w:spacing w:line="240" w:lineRule="auto"/>
        <w:ind w:left="0" w:leftChars="0"/>
        <w:rPr>
          <w:rFonts w:ascii="仿宋_GB2312" w:hAnsi="仿宋_GB2312" w:eastAsia="仿宋_GB2312" w:cs="仿宋_GB2312"/>
          <w:sz w:val="20"/>
          <w:szCs w:val="20"/>
        </w:rPr>
        <w:sectPr>
          <w:pgSz w:w="11906" w:h="16838"/>
          <w:pgMar w:top="720" w:right="720" w:bottom="720" w:left="720" w:header="851" w:footer="992" w:gutter="0"/>
          <w:cols w:space="720" w:num="1"/>
          <w:docGrid w:type="lines" w:linePitch="312" w:charSpace="0"/>
        </w:sectPr>
      </w:pPr>
      <w:r>
        <w:rPr>
          <w:rFonts w:hint="eastAsia" w:ascii="仿宋_GB2312" w:hAnsi="仿宋_GB2312" w:eastAsia="仿宋_GB2312" w:cs="仿宋_GB2312"/>
          <w:sz w:val="20"/>
          <w:szCs w:val="20"/>
        </w:rPr>
        <w:t>说明：大同市妇女儿童教育中心没有一般公共预算财政拨款基本支出，故本表无数据。</w:t>
      </w:r>
    </w:p>
    <w:tbl>
      <w:tblPr>
        <w:tblStyle w:val="6"/>
        <w:tblW w:w="15283" w:type="dxa"/>
        <w:tblInd w:w="93" w:type="dxa"/>
        <w:tblLayout w:type="fixed"/>
        <w:tblCellMar>
          <w:top w:w="0" w:type="dxa"/>
          <w:left w:w="108" w:type="dxa"/>
          <w:bottom w:w="0" w:type="dxa"/>
          <w:right w:w="108" w:type="dxa"/>
        </w:tblCellMar>
      </w:tblPr>
      <w:tblGrid>
        <w:gridCol w:w="1028"/>
        <w:gridCol w:w="1461"/>
        <w:gridCol w:w="1178"/>
        <w:gridCol w:w="1074"/>
        <w:gridCol w:w="172"/>
        <w:gridCol w:w="961"/>
        <w:gridCol w:w="1848"/>
        <w:gridCol w:w="98"/>
        <w:gridCol w:w="961"/>
        <w:gridCol w:w="981"/>
        <w:gridCol w:w="1078"/>
        <w:gridCol w:w="2146"/>
        <w:gridCol w:w="1238"/>
        <w:gridCol w:w="970"/>
        <w:gridCol w:w="89"/>
      </w:tblGrid>
      <w:tr>
        <w:tblPrEx>
          <w:tblCellMar>
            <w:top w:w="0" w:type="dxa"/>
            <w:left w:w="108" w:type="dxa"/>
            <w:bottom w:w="0" w:type="dxa"/>
            <w:right w:w="108" w:type="dxa"/>
          </w:tblCellMar>
        </w:tblPrEx>
        <w:trPr>
          <w:gridAfter w:val="1"/>
          <w:wAfter w:w="89" w:type="dxa"/>
          <w:trHeight w:val="330" w:hRule="atLeast"/>
        </w:trPr>
        <w:tc>
          <w:tcPr>
            <w:tcW w:w="15194" w:type="dxa"/>
            <w:gridSpan w:val="14"/>
            <w:tcBorders>
              <w:top w:val="nil"/>
              <w:left w:val="nil"/>
              <w:bottom w:val="nil"/>
              <w:right w:val="nil"/>
            </w:tcBorders>
            <w:noWrap/>
            <w:vAlign w:val="bottom"/>
          </w:tcPr>
          <w:p>
            <w:pPr>
              <w:jc w:val="center"/>
              <w:rPr>
                <w:rFonts w:ascii="Arial" w:hAnsi="Arial" w:cs="Arial"/>
                <w:color w:val="000000"/>
                <w:sz w:val="20"/>
                <w:szCs w:val="20"/>
              </w:rPr>
            </w:pPr>
            <w:r>
              <w:rPr>
                <w:rFonts w:hint="eastAsia" w:ascii="方正小标宋简体" w:hAnsi="方正小标宋简体" w:eastAsia="方正小标宋简体" w:cs="方正小标宋简体"/>
                <w:color w:val="000000"/>
                <w:kern w:val="0"/>
                <w:sz w:val="36"/>
                <w:szCs w:val="36"/>
                <w:lang w:bidi="ar"/>
              </w:rPr>
              <w:t>一般公共预算财政拨款基本支出决算表（二）</w:t>
            </w:r>
          </w:p>
        </w:tc>
      </w:tr>
      <w:tr>
        <w:tblPrEx>
          <w:tblCellMar>
            <w:top w:w="0" w:type="dxa"/>
            <w:left w:w="108" w:type="dxa"/>
            <w:bottom w:w="0" w:type="dxa"/>
            <w:right w:w="108" w:type="dxa"/>
          </w:tblCellMar>
        </w:tblPrEx>
        <w:trPr>
          <w:gridAfter w:val="1"/>
          <w:wAfter w:w="89" w:type="dxa"/>
          <w:trHeight w:val="330" w:hRule="atLeast"/>
        </w:trPr>
        <w:tc>
          <w:tcPr>
            <w:tcW w:w="4913" w:type="dxa"/>
            <w:gridSpan w:val="5"/>
            <w:tcBorders>
              <w:top w:val="nil"/>
              <w:left w:val="nil"/>
              <w:bottom w:val="nil"/>
              <w:right w:val="nil"/>
            </w:tcBorders>
            <w:noWrap/>
            <w:vAlign w:val="bottom"/>
          </w:tcPr>
          <w:p>
            <w:pPr>
              <w:rPr>
                <w:rFonts w:ascii="黑体" w:hAnsi="黑体" w:eastAsia="黑体" w:cs="黑体"/>
                <w:color w:val="000000"/>
                <w:kern w:val="0"/>
                <w:szCs w:val="21"/>
                <w:lang w:bidi="ar"/>
              </w:rPr>
            </w:pPr>
          </w:p>
        </w:tc>
        <w:tc>
          <w:tcPr>
            <w:tcW w:w="2907" w:type="dxa"/>
            <w:gridSpan w:val="3"/>
            <w:tcBorders>
              <w:top w:val="nil"/>
              <w:left w:val="nil"/>
              <w:bottom w:val="nil"/>
              <w:right w:val="nil"/>
            </w:tcBorders>
            <w:noWrap/>
            <w:vAlign w:val="bottom"/>
          </w:tcPr>
          <w:p>
            <w:pPr>
              <w:rPr>
                <w:rFonts w:ascii="黑体" w:hAnsi="黑体" w:eastAsia="黑体" w:cs="黑体"/>
                <w:color w:val="000000"/>
                <w:szCs w:val="21"/>
              </w:rPr>
            </w:pPr>
          </w:p>
        </w:tc>
        <w:tc>
          <w:tcPr>
            <w:tcW w:w="7374" w:type="dxa"/>
            <w:gridSpan w:val="6"/>
            <w:tcBorders>
              <w:top w:val="nil"/>
              <w:left w:val="nil"/>
              <w:bottom w:val="nil"/>
              <w:right w:val="nil"/>
            </w:tcBorders>
            <w:noWrap/>
            <w:vAlign w:val="bottom"/>
          </w:tcPr>
          <w:p>
            <w:pPr>
              <w:ind w:firstLine="552"/>
              <w:jc w:val="right"/>
              <w:rPr>
                <w:rFonts w:ascii="黑体" w:hAnsi="黑体" w:eastAsia="黑体" w:cs="黑体"/>
                <w:color w:val="000000"/>
                <w:szCs w:val="21"/>
              </w:rPr>
            </w:pPr>
            <w:r>
              <w:rPr>
                <w:rFonts w:hint="eastAsia" w:ascii="黑体" w:hAnsi="黑体" w:eastAsia="黑体" w:cs="黑体"/>
                <w:color w:val="000000"/>
                <w:szCs w:val="21"/>
              </w:rPr>
              <w:t>公开06-2表</w:t>
            </w:r>
          </w:p>
        </w:tc>
      </w:tr>
      <w:tr>
        <w:tblPrEx>
          <w:tblCellMar>
            <w:top w:w="0" w:type="dxa"/>
            <w:left w:w="108" w:type="dxa"/>
            <w:bottom w:w="0" w:type="dxa"/>
            <w:right w:w="108" w:type="dxa"/>
          </w:tblCellMar>
        </w:tblPrEx>
        <w:trPr>
          <w:gridAfter w:val="1"/>
          <w:wAfter w:w="89" w:type="dxa"/>
          <w:trHeight w:val="330" w:hRule="atLeast"/>
        </w:trPr>
        <w:tc>
          <w:tcPr>
            <w:tcW w:w="4913" w:type="dxa"/>
            <w:gridSpan w:val="5"/>
            <w:tcBorders>
              <w:top w:val="nil"/>
              <w:left w:val="nil"/>
              <w:bottom w:val="nil"/>
              <w:right w:val="nil"/>
            </w:tcBorders>
            <w:noWrap/>
            <w:vAlign w:val="bottom"/>
          </w:tcPr>
          <w:p>
            <w:pPr>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907" w:type="dxa"/>
            <w:gridSpan w:val="3"/>
            <w:tcBorders>
              <w:top w:val="nil"/>
              <w:left w:val="nil"/>
              <w:bottom w:val="nil"/>
              <w:right w:val="nil"/>
            </w:tcBorders>
            <w:noWrap/>
            <w:vAlign w:val="bottom"/>
          </w:tcPr>
          <w:p>
            <w:pPr>
              <w:rPr>
                <w:rFonts w:ascii="黑体" w:hAnsi="黑体" w:eastAsia="黑体" w:cs="黑体"/>
                <w:color w:val="000000"/>
                <w:szCs w:val="21"/>
              </w:rPr>
            </w:pPr>
          </w:p>
        </w:tc>
        <w:tc>
          <w:tcPr>
            <w:tcW w:w="7374" w:type="dxa"/>
            <w:gridSpan w:val="6"/>
            <w:tcBorders>
              <w:top w:val="nil"/>
              <w:left w:val="nil"/>
              <w:bottom w:val="nil"/>
              <w:right w:val="nil"/>
            </w:tcBorders>
            <w:noWrap/>
            <w:vAlign w:val="bottom"/>
          </w:tcPr>
          <w:p>
            <w:pPr>
              <w:ind w:firstLine="552"/>
              <w:jc w:val="right"/>
              <w:rPr>
                <w:rFonts w:ascii="黑体" w:hAnsi="黑体" w:eastAsia="黑体" w:cs="黑体"/>
                <w:color w:val="000000"/>
                <w:szCs w:val="21"/>
              </w:rPr>
            </w:pPr>
            <w:r>
              <w:rPr>
                <w:rFonts w:hint="eastAsia" w:ascii="黑体" w:hAnsi="黑体" w:eastAsia="黑体" w:cs="黑体"/>
                <w:color w:val="000000"/>
                <w:szCs w:val="21"/>
              </w:rPr>
              <w:t>金额单位：元</w:t>
            </w:r>
          </w:p>
        </w:tc>
      </w:tr>
      <w:tr>
        <w:tblPrEx>
          <w:tblCellMar>
            <w:top w:w="0" w:type="dxa"/>
            <w:left w:w="108" w:type="dxa"/>
            <w:bottom w:w="0" w:type="dxa"/>
            <w:right w:w="108" w:type="dxa"/>
          </w:tblCellMar>
        </w:tblPrEx>
        <w:trPr>
          <w:trHeight w:val="363" w:hRule="atLeast"/>
        </w:trPr>
        <w:tc>
          <w:tcPr>
            <w:tcW w:w="15283" w:type="dxa"/>
            <w:gridSpan w:val="15"/>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cs="宋体"/>
                <w:b/>
                <w:color w:val="000000"/>
                <w:sz w:val="20"/>
                <w:szCs w:val="20"/>
              </w:rPr>
            </w:pPr>
            <w:r>
              <w:rPr>
                <w:rFonts w:hint="eastAsia" w:ascii="宋体" w:hAnsi="宋体" w:cs="宋体"/>
                <w:b/>
                <w:color w:val="000000"/>
                <w:kern w:val="0"/>
                <w:sz w:val="20"/>
                <w:szCs w:val="20"/>
                <w:lang w:bidi="ar"/>
              </w:rPr>
              <w:t>公用经费</w:t>
            </w:r>
          </w:p>
        </w:tc>
      </w:tr>
      <w:tr>
        <w:tblPrEx>
          <w:tblCellMar>
            <w:top w:w="0" w:type="dxa"/>
            <w:left w:w="108" w:type="dxa"/>
            <w:bottom w:w="0" w:type="dxa"/>
            <w:right w:w="108" w:type="dxa"/>
          </w:tblCellMar>
        </w:tblPrEx>
        <w:trPr>
          <w:trHeight w:val="312" w:hRule="atLeast"/>
        </w:trPr>
        <w:tc>
          <w:tcPr>
            <w:tcW w:w="1028"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科目编码</w:t>
            </w:r>
          </w:p>
        </w:tc>
        <w:tc>
          <w:tcPr>
            <w:tcW w:w="1461"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科目名称</w:t>
            </w:r>
          </w:p>
        </w:tc>
        <w:tc>
          <w:tcPr>
            <w:tcW w:w="1178"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金额</w:t>
            </w:r>
          </w:p>
        </w:tc>
        <w:tc>
          <w:tcPr>
            <w:tcW w:w="1074"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其中：基本支出</w:t>
            </w:r>
          </w:p>
        </w:tc>
        <w:tc>
          <w:tcPr>
            <w:tcW w:w="1133" w:type="dxa"/>
            <w:gridSpan w:val="2"/>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科目编码</w:t>
            </w:r>
          </w:p>
        </w:tc>
        <w:tc>
          <w:tcPr>
            <w:tcW w:w="1848"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科目名称</w:t>
            </w:r>
          </w:p>
        </w:tc>
        <w:tc>
          <w:tcPr>
            <w:tcW w:w="1059" w:type="dxa"/>
            <w:gridSpan w:val="2"/>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金额</w:t>
            </w:r>
          </w:p>
        </w:tc>
        <w:tc>
          <w:tcPr>
            <w:tcW w:w="981"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其中：基本支出</w:t>
            </w:r>
          </w:p>
        </w:tc>
        <w:tc>
          <w:tcPr>
            <w:tcW w:w="1078"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科目编码</w:t>
            </w:r>
          </w:p>
        </w:tc>
        <w:tc>
          <w:tcPr>
            <w:tcW w:w="2146"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科目名称</w:t>
            </w:r>
          </w:p>
        </w:tc>
        <w:tc>
          <w:tcPr>
            <w:tcW w:w="1238" w:type="dxa"/>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金额</w:t>
            </w:r>
          </w:p>
        </w:tc>
        <w:tc>
          <w:tcPr>
            <w:tcW w:w="1059" w:type="dxa"/>
            <w:gridSpan w:val="2"/>
            <w:vMerge w:val="restart"/>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其中：基本支出</w:t>
            </w:r>
          </w:p>
        </w:tc>
      </w:tr>
      <w:tr>
        <w:tblPrEx>
          <w:tblCellMar>
            <w:top w:w="0" w:type="dxa"/>
            <w:left w:w="108" w:type="dxa"/>
            <w:bottom w:w="0" w:type="dxa"/>
            <w:right w:w="108" w:type="dxa"/>
          </w:tblCellMar>
        </w:tblPrEx>
        <w:trPr>
          <w:trHeight w:val="312" w:hRule="atLeast"/>
        </w:trPr>
        <w:tc>
          <w:tcPr>
            <w:tcW w:w="1028"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461"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074"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133" w:type="dxa"/>
            <w:gridSpan w:val="2"/>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848"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059" w:type="dxa"/>
            <w:gridSpan w:val="2"/>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078"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2146"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238" w:type="dxa"/>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c>
          <w:tcPr>
            <w:tcW w:w="1059" w:type="dxa"/>
            <w:gridSpan w:val="2"/>
            <w:vMerge w:val="continue"/>
            <w:tcBorders>
              <w:top w:val="single" w:color="000000" w:sz="4" w:space="0"/>
              <w:left w:val="single" w:color="000000" w:sz="4" w:space="0"/>
              <w:bottom w:val="single" w:color="000000" w:sz="4" w:space="0"/>
              <w:right w:val="single" w:color="000000" w:sz="4" w:space="0"/>
            </w:tcBorders>
            <w:shd w:val="clear" w:color="FFFFFF" w:fill="C0C0C0"/>
            <w:vAlign w:val="center"/>
          </w:tcPr>
          <w:p>
            <w:pPr>
              <w:jc w:val="center"/>
              <w:rPr>
                <w:rFonts w:ascii="宋体" w:hAnsi="宋体" w:cs="宋体"/>
                <w:color w:val="000000"/>
                <w:sz w:val="20"/>
                <w:szCs w:val="20"/>
              </w:rPr>
            </w:pPr>
          </w:p>
        </w:tc>
      </w:tr>
      <w:tr>
        <w:tblPrEx>
          <w:tblCellMar>
            <w:top w:w="0" w:type="dxa"/>
            <w:left w:w="108" w:type="dxa"/>
            <w:bottom w:w="0" w:type="dxa"/>
            <w:right w:w="108" w:type="dxa"/>
          </w:tblCellMar>
        </w:tblPrEx>
        <w:trPr>
          <w:trHeight w:val="363" w:hRule="atLeast"/>
        </w:trPr>
        <w:tc>
          <w:tcPr>
            <w:tcW w:w="102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b/>
                <w:color w:val="000000"/>
                <w:sz w:val="18"/>
                <w:szCs w:val="18"/>
              </w:rPr>
            </w:pPr>
          </w:p>
        </w:tc>
        <w:tc>
          <w:tcPr>
            <w:tcW w:w="1461"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b/>
                <w:color w:val="000000"/>
                <w:sz w:val="18"/>
                <w:szCs w:val="18"/>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18"/>
                <w:szCs w:val="18"/>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18"/>
                <w:szCs w:val="18"/>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b/>
                <w:color w:val="000000"/>
                <w:sz w:val="18"/>
                <w:szCs w:val="18"/>
              </w:rPr>
            </w:pPr>
          </w:p>
        </w:tc>
        <w:tc>
          <w:tcPr>
            <w:tcW w:w="184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b/>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107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2146"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238"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r>
      <w:tr>
        <w:tblPrEx>
          <w:tblCellMar>
            <w:top w:w="0" w:type="dxa"/>
            <w:left w:w="108" w:type="dxa"/>
            <w:bottom w:w="0" w:type="dxa"/>
            <w:right w:w="108" w:type="dxa"/>
          </w:tblCellMar>
        </w:tblPrEx>
        <w:trPr>
          <w:trHeight w:val="389" w:hRule="atLeast"/>
        </w:trPr>
        <w:tc>
          <w:tcPr>
            <w:tcW w:w="102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461"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18"/>
                <w:szCs w:val="18"/>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18"/>
                <w:szCs w:val="18"/>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84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107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2146"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238"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r>
      <w:tr>
        <w:tblPrEx>
          <w:tblCellMar>
            <w:top w:w="0" w:type="dxa"/>
            <w:left w:w="108" w:type="dxa"/>
            <w:bottom w:w="0" w:type="dxa"/>
            <w:right w:w="108" w:type="dxa"/>
          </w:tblCellMar>
        </w:tblPrEx>
        <w:trPr>
          <w:trHeight w:val="449" w:hRule="atLeast"/>
        </w:trPr>
        <w:tc>
          <w:tcPr>
            <w:tcW w:w="102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461"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18"/>
                <w:szCs w:val="18"/>
              </w:rPr>
            </w:pP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1133" w:type="dxa"/>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84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cs="宋体"/>
                <w:color w:val="000000"/>
                <w:sz w:val="18"/>
                <w:szCs w:val="18"/>
              </w:rPr>
            </w:pPr>
          </w:p>
        </w:tc>
        <w:tc>
          <w:tcPr>
            <w:tcW w:w="1078"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2146" w:type="dxa"/>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宋体" w:hAnsi="宋体" w:cs="宋体"/>
                <w:color w:val="000000"/>
                <w:sz w:val="18"/>
                <w:szCs w:val="18"/>
              </w:rPr>
            </w:pPr>
          </w:p>
        </w:tc>
        <w:tc>
          <w:tcPr>
            <w:tcW w:w="1238" w:type="dxa"/>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ascii="宋体" w:hAnsi="宋体" w:cs="宋体"/>
                <w:color w:val="000000"/>
                <w:sz w:val="18"/>
                <w:szCs w:val="18"/>
              </w:rPr>
            </w:pPr>
          </w:p>
        </w:tc>
      </w:tr>
      <w:tr>
        <w:tblPrEx>
          <w:tblCellMar>
            <w:top w:w="0" w:type="dxa"/>
            <w:left w:w="108" w:type="dxa"/>
            <w:bottom w:w="0" w:type="dxa"/>
            <w:right w:w="108" w:type="dxa"/>
          </w:tblCellMar>
        </w:tblPrEx>
        <w:trPr>
          <w:trHeight w:val="368" w:hRule="atLeast"/>
        </w:trPr>
        <w:tc>
          <w:tcPr>
            <w:tcW w:w="12986" w:type="dxa"/>
            <w:gridSpan w:val="1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cs="宋体"/>
                <w:b/>
                <w:color w:val="000000"/>
                <w:sz w:val="18"/>
                <w:szCs w:val="18"/>
              </w:rPr>
            </w:pPr>
            <w:r>
              <w:rPr>
                <w:rFonts w:hint="eastAsia" w:ascii="宋体" w:hAnsi="宋体" w:cs="宋体"/>
                <w:b/>
                <w:color w:val="000000"/>
                <w:kern w:val="0"/>
                <w:sz w:val="18"/>
                <w:szCs w:val="18"/>
                <w:lang w:bidi="ar"/>
              </w:rPr>
              <w:t>公用经费合计</w:t>
            </w:r>
          </w:p>
        </w:tc>
        <w:tc>
          <w:tcPr>
            <w:tcW w:w="1238" w:type="dxa"/>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宋体" w:hAnsi="宋体" w:cs="宋体"/>
                <w:color w:val="000000"/>
                <w:sz w:val="18"/>
                <w:szCs w:val="18"/>
              </w:rPr>
            </w:pPr>
          </w:p>
        </w:tc>
        <w:tc>
          <w:tcPr>
            <w:tcW w:w="105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right"/>
              <w:textAlignment w:val="center"/>
              <w:rPr>
                <w:rFonts w:ascii="宋体" w:hAnsi="宋体" w:cs="宋体"/>
                <w:color w:val="000000"/>
                <w:sz w:val="18"/>
                <w:szCs w:val="18"/>
              </w:rPr>
            </w:pPr>
          </w:p>
        </w:tc>
      </w:tr>
    </w:tbl>
    <w:p>
      <w:pPr>
        <w:pStyle w:val="3"/>
        <w:spacing w:line="240" w:lineRule="auto"/>
        <w:ind w:left="0" w:leftChars="0"/>
        <w:rPr>
          <w:rFonts w:ascii="仿宋_GB2312" w:hAnsi="仿宋_GB2312" w:eastAsia="仿宋_GB2312" w:cs="仿宋_GB2312"/>
          <w:sz w:val="20"/>
          <w:szCs w:val="20"/>
        </w:rPr>
      </w:pPr>
      <w:r>
        <w:rPr>
          <w:rFonts w:hint="eastAsia" w:ascii="仿宋_GB2312" w:hAnsi="仿宋_GB2312" w:eastAsia="仿宋_GB2312" w:cs="仿宋_GB2312"/>
          <w:sz w:val="20"/>
          <w:szCs w:val="20"/>
        </w:rPr>
        <w:t>注：本表反映部门本年度一般公共预算财政拨款支出明细情况（其中包括基本支出明细情况</w:t>
      </w:r>
      <w:r>
        <w:rPr>
          <w:rFonts w:ascii="仿宋_GB2312" w:hAnsi="仿宋_GB2312" w:eastAsia="仿宋_GB2312" w:cs="仿宋_GB2312"/>
          <w:sz w:val="20"/>
          <w:szCs w:val="20"/>
        </w:rPr>
        <w:t>）</w:t>
      </w:r>
      <w:r>
        <w:rPr>
          <w:rFonts w:hint="eastAsia" w:ascii="仿宋_GB2312" w:hAnsi="仿宋_GB2312" w:eastAsia="仿宋_GB2312" w:cs="仿宋_GB2312"/>
          <w:sz w:val="20"/>
          <w:szCs w:val="20"/>
        </w:rPr>
        <w:t>。</w:t>
      </w:r>
    </w:p>
    <w:p>
      <w:pPr>
        <w:pStyle w:val="3"/>
        <w:spacing w:line="240" w:lineRule="auto"/>
        <w:ind w:left="0" w:leftChars="0"/>
        <w:rPr>
          <w:rFonts w:ascii="仿宋_GB2312" w:hAnsi="仿宋_GB2312" w:eastAsia="仿宋_GB2312" w:cs="仿宋_GB2312"/>
          <w:sz w:val="20"/>
          <w:szCs w:val="20"/>
        </w:rPr>
      </w:pPr>
      <w:r>
        <w:rPr>
          <w:rFonts w:hint="eastAsia" w:ascii="仿宋_GB2312" w:hAnsi="仿宋_GB2312" w:eastAsia="仿宋_GB2312" w:cs="仿宋_GB2312"/>
          <w:sz w:val="20"/>
          <w:szCs w:val="20"/>
        </w:rPr>
        <w:t>说明：大同市妇女儿童教育中心没有一般公共预算财政拨款基本支出，故本表无数据。</w:t>
      </w:r>
    </w:p>
    <w:p>
      <w:pPr>
        <w:pStyle w:val="3"/>
        <w:spacing w:line="240" w:lineRule="auto"/>
        <w:ind w:left="0" w:leftChars="0"/>
        <w:rPr>
          <w:rFonts w:ascii="仿宋_GB2312" w:hAnsi="仿宋_GB2312" w:eastAsia="仿宋_GB2312" w:cs="仿宋_GB2312"/>
          <w:sz w:val="20"/>
          <w:szCs w:val="20"/>
        </w:rPr>
      </w:pPr>
    </w:p>
    <w:p>
      <w:pPr>
        <w:pStyle w:val="3"/>
        <w:spacing w:line="240" w:lineRule="auto"/>
        <w:ind w:left="0" w:leftChars="0"/>
        <w:rPr>
          <w:rFonts w:ascii="仿宋_GB2312" w:hAnsi="仿宋_GB2312" w:eastAsia="仿宋_GB2312" w:cs="仿宋_GB2312"/>
          <w:sz w:val="20"/>
          <w:szCs w:val="20"/>
        </w:rPr>
        <w:sectPr>
          <w:pgSz w:w="16838" w:h="11906" w:orient="landscape"/>
          <w:pgMar w:top="720" w:right="720" w:bottom="720" w:left="720" w:header="851" w:footer="992" w:gutter="0"/>
          <w:cols w:space="720" w:num="1"/>
          <w:docGrid w:type="lines" w:linePitch="312" w:charSpace="0"/>
        </w:sectPr>
      </w:pPr>
    </w:p>
    <w:tbl>
      <w:tblPr>
        <w:tblStyle w:val="6"/>
        <w:tblW w:w="13880" w:type="dxa"/>
        <w:tblInd w:w="93" w:type="dxa"/>
        <w:tblLayout w:type="fixed"/>
        <w:tblCellMar>
          <w:top w:w="0" w:type="dxa"/>
          <w:left w:w="108" w:type="dxa"/>
          <w:bottom w:w="0" w:type="dxa"/>
          <w:right w:w="108" w:type="dxa"/>
        </w:tblCellMar>
      </w:tblPr>
      <w:tblGrid>
        <w:gridCol w:w="1183"/>
        <w:gridCol w:w="930"/>
        <w:gridCol w:w="1215"/>
        <w:gridCol w:w="1110"/>
        <w:gridCol w:w="1260"/>
        <w:gridCol w:w="960"/>
        <w:gridCol w:w="1290"/>
        <w:gridCol w:w="1230"/>
        <w:gridCol w:w="1230"/>
        <w:gridCol w:w="1245"/>
        <w:gridCol w:w="1170"/>
        <w:gridCol w:w="1057"/>
      </w:tblGrid>
      <w:tr>
        <w:tblPrEx>
          <w:tblCellMar>
            <w:top w:w="0" w:type="dxa"/>
            <w:left w:w="108" w:type="dxa"/>
            <w:bottom w:w="0" w:type="dxa"/>
            <w:right w:w="108" w:type="dxa"/>
          </w:tblCellMar>
        </w:tblPrEx>
        <w:trPr>
          <w:trHeight w:val="826" w:hRule="atLeast"/>
        </w:trPr>
        <w:tc>
          <w:tcPr>
            <w:tcW w:w="13880" w:type="dxa"/>
            <w:gridSpan w:val="12"/>
            <w:tcBorders>
              <w:top w:val="nil"/>
              <w:left w:val="nil"/>
              <w:bottom w:val="nil"/>
              <w:right w:val="nil"/>
            </w:tcBorders>
            <w:noWrap/>
            <w:vAlign w:val="bottom"/>
          </w:tcPr>
          <w:p>
            <w:pPr>
              <w:widowControl/>
              <w:jc w:val="center"/>
              <w:textAlignment w:val="bottom"/>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kern w:val="0"/>
                <w:sz w:val="36"/>
                <w:szCs w:val="36"/>
                <w:lang w:bidi="ar"/>
              </w:rPr>
              <w:t>一般公共预算财政拨款“三公”经费支出决算表</w:t>
            </w:r>
          </w:p>
        </w:tc>
      </w:tr>
      <w:tr>
        <w:tblPrEx>
          <w:tblCellMar>
            <w:top w:w="0" w:type="dxa"/>
            <w:left w:w="108" w:type="dxa"/>
            <w:bottom w:w="0" w:type="dxa"/>
            <w:right w:w="108" w:type="dxa"/>
          </w:tblCellMar>
        </w:tblPrEx>
        <w:trPr>
          <w:trHeight w:val="290" w:hRule="atLeast"/>
        </w:trPr>
        <w:tc>
          <w:tcPr>
            <w:tcW w:w="1183" w:type="dxa"/>
            <w:tcBorders>
              <w:top w:val="nil"/>
              <w:left w:val="nil"/>
              <w:bottom w:val="nil"/>
              <w:right w:val="nil"/>
            </w:tcBorders>
            <w:noWrap/>
            <w:vAlign w:val="bottom"/>
          </w:tcPr>
          <w:p>
            <w:pPr>
              <w:rPr>
                <w:rFonts w:ascii="黑体" w:hAnsi="黑体" w:eastAsia="黑体" w:cs="黑体"/>
                <w:color w:val="000000"/>
                <w:szCs w:val="21"/>
              </w:rPr>
            </w:pPr>
          </w:p>
        </w:tc>
        <w:tc>
          <w:tcPr>
            <w:tcW w:w="930" w:type="dxa"/>
            <w:tcBorders>
              <w:top w:val="nil"/>
              <w:left w:val="nil"/>
              <w:bottom w:val="nil"/>
              <w:right w:val="nil"/>
            </w:tcBorders>
            <w:noWrap/>
            <w:vAlign w:val="bottom"/>
          </w:tcPr>
          <w:p>
            <w:pPr>
              <w:rPr>
                <w:rFonts w:ascii="黑体" w:hAnsi="黑体" w:eastAsia="黑体" w:cs="黑体"/>
                <w:szCs w:val="21"/>
              </w:rPr>
            </w:pPr>
          </w:p>
        </w:tc>
        <w:tc>
          <w:tcPr>
            <w:tcW w:w="1215" w:type="dxa"/>
            <w:tcBorders>
              <w:top w:val="nil"/>
              <w:left w:val="nil"/>
              <w:bottom w:val="nil"/>
              <w:right w:val="nil"/>
            </w:tcBorders>
            <w:noWrap/>
            <w:vAlign w:val="bottom"/>
          </w:tcPr>
          <w:p>
            <w:pPr>
              <w:rPr>
                <w:rFonts w:ascii="黑体" w:hAnsi="黑体" w:eastAsia="黑体" w:cs="黑体"/>
                <w:szCs w:val="21"/>
              </w:rPr>
            </w:pPr>
          </w:p>
        </w:tc>
        <w:tc>
          <w:tcPr>
            <w:tcW w:w="1110" w:type="dxa"/>
            <w:tcBorders>
              <w:top w:val="nil"/>
              <w:left w:val="nil"/>
              <w:bottom w:val="nil"/>
              <w:right w:val="nil"/>
            </w:tcBorders>
            <w:noWrap/>
            <w:vAlign w:val="bottom"/>
          </w:tcPr>
          <w:p>
            <w:pPr>
              <w:rPr>
                <w:rFonts w:ascii="黑体" w:hAnsi="黑体" w:eastAsia="黑体" w:cs="黑体"/>
                <w:szCs w:val="21"/>
              </w:rPr>
            </w:pPr>
          </w:p>
        </w:tc>
        <w:tc>
          <w:tcPr>
            <w:tcW w:w="1260" w:type="dxa"/>
            <w:tcBorders>
              <w:top w:val="nil"/>
              <w:left w:val="nil"/>
              <w:bottom w:val="nil"/>
              <w:right w:val="nil"/>
            </w:tcBorders>
            <w:noWrap/>
            <w:vAlign w:val="bottom"/>
          </w:tcPr>
          <w:p>
            <w:pPr>
              <w:rPr>
                <w:rFonts w:ascii="黑体" w:hAnsi="黑体" w:eastAsia="黑体" w:cs="黑体"/>
                <w:szCs w:val="21"/>
              </w:rPr>
            </w:pPr>
          </w:p>
        </w:tc>
        <w:tc>
          <w:tcPr>
            <w:tcW w:w="960" w:type="dxa"/>
            <w:tcBorders>
              <w:top w:val="nil"/>
              <w:left w:val="nil"/>
              <w:bottom w:val="nil"/>
              <w:right w:val="nil"/>
            </w:tcBorders>
            <w:noWrap/>
            <w:vAlign w:val="bottom"/>
          </w:tcPr>
          <w:p>
            <w:pPr>
              <w:rPr>
                <w:rFonts w:ascii="黑体" w:hAnsi="黑体" w:eastAsia="黑体" w:cs="黑体"/>
                <w:color w:val="000000"/>
                <w:szCs w:val="21"/>
              </w:rPr>
            </w:pPr>
          </w:p>
        </w:tc>
        <w:tc>
          <w:tcPr>
            <w:tcW w:w="1290" w:type="dxa"/>
            <w:tcBorders>
              <w:top w:val="nil"/>
              <w:left w:val="nil"/>
              <w:bottom w:val="nil"/>
              <w:right w:val="nil"/>
            </w:tcBorders>
            <w:noWrap/>
            <w:vAlign w:val="bottom"/>
          </w:tcPr>
          <w:p>
            <w:pPr>
              <w:rPr>
                <w:rFonts w:ascii="黑体" w:hAnsi="黑体" w:eastAsia="黑体" w:cs="黑体"/>
                <w:color w:val="000000"/>
                <w:szCs w:val="21"/>
              </w:rPr>
            </w:pPr>
          </w:p>
        </w:tc>
        <w:tc>
          <w:tcPr>
            <w:tcW w:w="1230" w:type="dxa"/>
            <w:tcBorders>
              <w:top w:val="nil"/>
              <w:left w:val="nil"/>
              <w:bottom w:val="nil"/>
              <w:right w:val="nil"/>
            </w:tcBorders>
            <w:noWrap/>
            <w:vAlign w:val="bottom"/>
          </w:tcPr>
          <w:p>
            <w:pPr>
              <w:rPr>
                <w:rFonts w:ascii="黑体" w:hAnsi="黑体" w:eastAsia="黑体" w:cs="黑体"/>
                <w:color w:val="000000"/>
                <w:szCs w:val="21"/>
              </w:rPr>
            </w:pPr>
          </w:p>
        </w:tc>
        <w:tc>
          <w:tcPr>
            <w:tcW w:w="1230" w:type="dxa"/>
            <w:tcBorders>
              <w:top w:val="nil"/>
              <w:left w:val="nil"/>
              <w:bottom w:val="nil"/>
              <w:right w:val="nil"/>
            </w:tcBorders>
            <w:noWrap/>
            <w:vAlign w:val="bottom"/>
          </w:tcPr>
          <w:p>
            <w:pPr>
              <w:rPr>
                <w:rFonts w:ascii="黑体" w:hAnsi="黑体" w:eastAsia="黑体" w:cs="黑体"/>
                <w:szCs w:val="21"/>
              </w:rPr>
            </w:pPr>
          </w:p>
        </w:tc>
        <w:tc>
          <w:tcPr>
            <w:tcW w:w="1245" w:type="dxa"/>
            <w:tcBorders>
              <w:top w:val="nil"/>
              <w:left w:val="nil"/>
              <w:bottom w:val="nil"/>
              <w:right w:val="nil"/>
            </w:tcBorders>
            <w:noWrap/>
            <w:vAlign w:val="bottom"/>
          </w:tcPr>
          <w:p>
            <w:pPr>
              <w:rPr>
                <w:rFonts w:ascii="黑体" w:hAnsi="黑体" w:eastAsia="黑体" w:cs="黑体"/>
                <w:color w:val="000000"/>
                <w:szCs w:val="21"/>
              </w:rPr>
            </w:pPr>
          </w:p>
        </w:tc>
        <w:tc>
          <w:tcPr>
            <w:tcW w:w="2227"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公开07表</w:t>
            </w:r>
          </w:p>
        </w:tc>
      </w:tr>
      <w:tr>
        <w:tblPrEx>
          <w:tblCellMar>
            <w:top w:w="0" w:type="dxa"/>
            <w:left w:w="108" w:type="dxa"/>
            <w:bottom w:w="0" w:type="dxa"/>
            <w:right w:w="108" w:type="dxa"/>
          </w:tblCellMar>
        </w:tblPrEx>
        <w:trPr>
          <w:trHeight w:val="356" w:hRule="atLeast"/>
        </w:trPr>
        <w:tc>
          <w:tcPr>
            <w:tcW w:w="11653" w:type="dxa"/>
            <w:gridSpan w:val="10"/>
            <w:tcBorders>
              <w:top w:val="nil"/>
              <w:left w:val="nil"/>
              <w:bottom w:val="nil"/>
              <w:right w:val="nil"/>
            </w:tcBorders>
            <w:noWrap/>
            <w:vAlign w:val="bottom"/>
          </w:tcPr>
          <w:p>
            <w:pPr>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227"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371" w:hRule="atLeast"/>
        </w:trPr>
        <w:tc>
          <w:tcPr>
            <w:tcW w:w="6658"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预算数</w:t>
            </w:r>
          </w:p>
        </w:tc>
        <w:tc>
          <w:tcPr>
            <w:tcW w:w="7222"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决算数</w:t>
            </w:r>
          </w:p>
        </w:tc>
      </w:tr>
      <w:tr>
        <w:tblPrEx>
          <w:tblCellMar>
            <w:top w:w="0" w:type="dxa"/>
            <w:left w:w="108" w:type="dxa"/>
            <w:bottom w:w="0" w:type="dxa"/>
            <w:right w:w="108" w:type="dxa"/>
          </w:tblCellMar>
        </w:tblPrEx>
        <w:trPr>
          <w:trHeight w:val="404" w:hRule="atLeast"/>
        </w:trPr>
        <w:tc>
          <w:tcPr>
            <w:tcW w:w="1183"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930"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因公出国（境）费</w:t>
            </w:r>
          </w:p>
        </w:tc>
        <w:tc>
          <w:tcPr>
            <w:tcW w:w="3585" w:type="dxa"/>
            <w:gridSpan w:val="3"/>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公务用车购置及运行费</w:t>
            </w:r>
          </w:p>
        </w:tc>
        <w:tc>
          <w:tcPr>
            <w:tcW w:w="96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公务接待费</w:t>
            </w:r>
          </w:p>
        </w:tc>
        <w:tc>
          <w:tcPr>
            <w:tcW w:w="129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23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因公出国（境）费</w:t>
            </w:r>
          </w:p>
        </w:tc>
        <w:tc>
          <w:tcPr>
            <w:tcW w:w="3645" w:type="dxa"/>
            <w:gridSpan w:val="3"/>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公务用车购置及运行费</w:t>
            </w:r>
          </w:p>
        </w:tc>
        <w:tc>
          <w:tcPr>
            <w:tcW w:w="1057"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公务接待费</w:t>
            </w:r>
          </w:p>
        </w:tc>
      </w:tr>
      <w:tr>
        <w:tblPrEx>
          <w:tblCellMar>
            <w:top w:w="0" w:type="dxa"/>
            <w:left w:w="108" w:type="dxa"/>
            <w:bottom w:w="0" w:type="dxa"/>
            <w:right w:w="108" w:type="dxa"/>
          </w:tblCellMar>
        </w:tblPrEx>
        <w:trPr>
          <w:trHeight w:val="859" w:hRule="atLeast"/>
        </w:trPr>
        <w:tc>
          <w:tcPr>
            <w:tcW w:w="1183"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930"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szCs w:val="21"/>
              </w:rPr>
            </w:pPr>
          </w:p>
        </w:tc>
        <w:tc>
          <w:tcPr>
            <w:tcW w:w="1215"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小计</w:t>
            </w:r>
          </w:p>
        </w:tc>
        <w:tc>
          <w:tcPr>
            <w:tcW w:w="1110"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公务用车购置费</w:t>
            </w:r>
          </w:p>
        </w:tc>
        <w:tc>
          <w:tcPr>
            <w:tcW w:w="126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公务用车运行费</w:t>
            </w:r>
          </w:p>
        </w:tc>
        <w:tc>
          <w:tcPr>
            <w:tcW w:w="96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29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szCs w:val="21"/>
              </w:rPr>
            </w:pPr>
          </w:p>
        </w:tc>
        <w:tc>
          <w:tcPr>
            <w:tcW w:w="123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23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小计</w:t>
            </w:r>
          </w:p>
        </w:tc>
        <w:tc>
          <w:tcPr>
            <w:tcW w:w="124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公务用车购置费</w:t>
            </w:r>
          </w:p>
        </w:tc>
        <w:tc>
          <w:tcPr>
            <w:tcW w:w="117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公务用车运行费</w:t>
            </w:r>
          </w:p>
        </w:tc>
        <w:tc>
          <w:tcPr>
            <w:tcW w:w="1057"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91" w:hRule="atLeast"/>
        </w:trPr>
        <w:tc>
          <w:tcPr>
            <w:tcW w:w="1183"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930"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2</w:t>
            </w:r>
          </w:p>
        </w:tc>
        <w:tc>
          <w:tcPr>
            <w:tcW w:w="1215"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3</w:t>
            </w:r>
          </w:p>
        </w:tc>
        <w:tc>
          <w:tcPr>
            <w:tcW w:w="1110"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4</w:t>
            </w:r>
          </w:p>
        </w:tc>
        <w:tc>
          <w:tcPr>
            <w:tcW w:w="126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w:t>
            </w:r>
          </w:p>
        </w:tc>
        <w:tc>
          <w:tcPr>
            <w:tcW w:w="96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w:t>
            </w:r>
          </w:p>
        </w:tc>
        <w:tc>
          <w:tcPr>
            <w:tcW w:w="129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7</w:t>
            </w:r>
          </w:p>
        </w:tc>
        <w:tc>
          <w:tcPr>
            <w:tcW w:w="123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8</w:t>
            </w:r>
          </w:p>
        </w:tc>
        <w:tc>
          <w:tcPr>
            <w:tcW w:w="123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9</w:t>
            </w:r>
          </w:p>
        </w:tc>
        <w:tc>
          <w:tcPr>
            <w:tcW w:w="124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10</w:t>
            </w:r>
          </w:p>
        </w:tc>
        <w:tc>
          <w:tcPr>
            <w:tcW w:w="117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szCs w:val="21"/>
              </w:rPr>
            </w:pPr>
            <w:r>
              <w:rPr>
                <w:rFonts w:hint="eastAsia" w:ascii="仿宋_GB2312" w:hAnsi="仿宋_GB2312" w:eastAsia="仿宋_GB2312" w:cs="仿宋_GB2312"/>
                <w:color w:val="000000"/>
                <w:kern w:val="0"/>
                <w:szCs w:val="21"/>
                <w:lang w:bidi="ar"/>
              </w:rPr>
              <w:t>11</w:t>
            </w:r>
          </w:p>
        </w:tc>
        <w:tc>
          <w:tcPr>
            <w:tcW w:w="1057"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12</w:t>
            </w:r>
          </w:p>
        </w:tc>
      </w:tr>
      <w:tr>
        <w:tblPrEx>
          <w:tblCellMar>
            <w:top w:w="0" w:type="dxa"/>
            <w:left w:w="108" w:type="dxa"/>
            <w:bottom w:w="0" w:type="dxa"/>
            <w:right w:w="108" w:type="dxa"/>
          </w:tblCellMar>
        </w:tblPrEx>
        <w:trPr>
          <w:trHeight w:val="939" w:hRule="atLeast"/>
        </w:trPr>
        <w:tc>
          <w:tcPr>
            <w:tcW w:w="1183" w:type="dxa"/>
            <w:tcBorders>
              <w:top w:val="nil"/>
              <w:left w:val="single" w:color="000000" w:sz="4" w:space="0"/>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930" w:type="dxa"/>
            <w:tcBorders>
              <w:top w:val="nil"/>
              <w:left w:val="single" w:color="000000" w:sz="4" w:space="0"/>
              <w:bottom w:val="single" w:color="000000" w:sz="4" w:space="0"/>
              <w:right w:val="single" w:color="000000" w:sz="4" w:space="0"/>
            </w:tcBorders>
            <w:noWrap/>
            <w:vAlign w:val="center"/>
          </w:tcPr>
          <w:p>
            <w:pPr>
              <w:jc w:val="right"/>
              <w:rPr>
                <w:rFonts w:ascii="仿宋_GB2312" w:hAnsi="仿宋_GB2312" w:eastAsia="仿宋_GB2312" w:cs="仿宋_GB2312"/>
                <w:szCs w:val="21"/>
              </w:rPr>
            </w:pPr>
          </w:p>
        </w:tc>
        <w:tc>
          <w:tcPr>
            <w:tcW w:w="1215" w:type="dxa"/>
            <w:tcBorders>
              <w:top w:val="nil"/>
              <w:left w:val="single" w:color="000000" w:sz="4" w:space="0"/>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szCs w:val="21"/>
              </w:rPr>
            </w:pPr>
          </w:p>
        </w:tc>
        <w:tc>
          <w:tcPr>
            <w:tcW w:w="1110" w:type="dxa"/>
            <w:tcBorders>
              <w:top w:val="nil"/>
              <w:left w:val="single" w:color="000000" w:sz="4" w:space="0"/>
              <w:bottom w:val="single" w:color="000000" w:sz="4" w:space="0"/>
              <w:right w:val="single" w:color="000000" w:sz="4" w:space="0"/>
            </w:tcBorders>
            <w:noWrap/>
            <w:vAlign w:val="center"/>
          </w:tcPr>
          <w:p>
            <w:pPr>
              <w:jc w:val="right"/>
              <w:rPr>
                <w:rFonts w:ascii="仿宋_GB2312" w:hAnsi="仿宋_GB2312" w:eastAsia="仿宋_GB2312" w:cs="仿宋_GB2312"/>
                <w:szCs w:val="21"/>
              </w:rPr>
            </w:pPr>
          </w:p>
        </w:tc>
        <w:tc>
          <w:tcPr>
            <w:tcW w:w="126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96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29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szCs w:val="21"/>
              </w:rPr>
            </w:pPr>
          </w:p>
        </w:tc>
        <w:tc>
          <w:tcPr>
            <w:tcW w:w="1230"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23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szCs w:val="21"/>
              </w:rPr>
            </w:pPr>
          </w:p>
        </w:tc>
        <w:tc>
          <w:tcPr>
            <w:tcW w:w="124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szCs w:val="21"/>
              </w:rPr>
            </w:pPr>
          </w:p>
        </w:tc>
        <w:tc>
          <w:tcPr>
            <w:tcW w:w="105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1124" w:hRule="atLeast"/>
        </w:trPr>
        <w:tc>
          <w:tcPr>
            <w:tcW w:w="13880" w:type="dxa"/>
            <w:gridSpan w:val="12"/>
            <w:tcBorders>
              <w:top w:val="nil"/>
              <w:left w:val="nil"/>
              <w:bottom w:val="nil"/>
              <w:right w:val="nil"/>
            </w:tcBorders>
            <w:vAlign w:val="center"/>
          </w:tcPr>
          <w:p>
            <w:pPr>
              <w:widowControl/>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注：本表反映部门本年度“三公”经费支出预决算情况。其中，预算数为“三公”经费全年预算数，反映按规定程序调整后的预算数；决算数是包括当年一般公共预算财政拨款和以前年度结转资金安排的实际支出。</w:t>
            </w:r>
          </w:p>
          <w:p>
            <w:pPr>
              <w:pStyle w:val="2"/>
              <w:rPr>
                <w:lang w:bidi="ar"/>
              </w:rPr>
            </w:pPr>
            <w:r>
              <w:rPr>
                <w:rFonts w:hint="eastAsia"/>
                <w:lang w:bidi="ar"/>
              </w:rPr>
              <w:t>说明：大同市妇女儿童教育中心没有一般公共预算财政拨款“三公”经费支出，故本表无数据。</w:t>
            </w:r>
          </w:p>
        </w:tc>
      </w:tr>
    </w:tbl>
    <w:p>
      <w:pPr>
        <w:pStyle w:val="3"/>
        <w:spacing w:line="600" w:lineRule="exact"/>
        <w:ind w:left="0" w:leftChars="0"/>
        <w:rPr>
          <w:rFonts w:ascii="黑体" w:hAnsi="黑体" w:eastAsia="黑体" w:cs="黑体"/>
          <w:sz w:val="32"/>
          <w:szCs w:val="32"/>
        </w:rPr>
        <w:sectPr>
          <w:pgSz w:w="16838" w:h="11906" w:orient="landscape"/>
          <w:pgMar w:top="1800" w:right="1440" w:bottom="1800" w:left="1440" w:header="851" w:footer="992" w:gutter="0"/>
          <w:cols w:space="720" w:num="1"/>
          <w:docGrid w:type="lines" w:linePitch="312" w:charSpace="0"/>
        </w:sectPr>
      </w:pPr>
    </w:p>
    <w:tbl>
      <w:tblPr>
        <w:tblStyle w:val="6"/>
        <w:tblW w:w="13922" w:type="dxa"/>
        <w:tblInd w:w="93" w:type="dxa"/>
        <w:tblLayout w:type="fixed"/>
        <w:tblCellMar>
          <w:top w:w="0" w:type="dxa"/>
          <w:left w:w="108" w:type="dxa"/>
          <w:bottom w:w="0" w:type="dxa"/>
          <w:right w:w="108" w:type="dxa"/>
        </w:tblCellMar>
      </w:tblPr>
      <w:tblGrid>
        <w:gridCol w:w="3362"/>
        <w:gridCol w:w="236"/>
        <w:gridCol w:w="240"/>
        <w:gridCol w:w="3591"/>
        <w:gridCol w:w="1024"/>
        <w:gridCol w:w="1182"/>
        <w:gridCol w:w="1182"/>
        <w:gridCol w:w="898"/>
        <w:gridCol w:w="1169"/>
        <w:gridCol w:w="1038"/>
      </w:tblGrid>
      <w:tr>
        <w:tblPrEx>
          <w:tblCellMar>
            <w:top w:w="0" w:type="dxa"/>
            <w:left w:w="108" w:type="dxa"/>
            <w:bottom w:w="0" w:type="dxa"/>
            <w:right w:w="108" w:type="dxa"/>
          </w:tblCellMar>
        </w:tblPrEx>
        <w:trPr>
          <w:trHeight w:val="587" w:hRule="atLeast"/>
        </w:trPr>
        <w:tc>
          <w:tcPr>
            <w:tcW w:w="13922" w:type="dxa"/>
            <w:gridSpan w:val="10"/>
            <w:tcBorders>
              <w:top w:val="nil"/>
              <w:left w:val="nil"/>
              <w:bottom w:val="nil"/>
              <w:right w:val="nil"/>
            </w:tcBorders>
            <w:noWrap/>
            <w:vAlign w:val="bottom"/>
          </w:tcPr>
          <w:p>
            <w:pPr>
              <w:widowControl/>
              <w:jc w:val="center"/>
              <w:textAlignment w:val="bottom"/>
              <w:rPr>
                <w:rFonts w:ascii="宋体" w:hAnsi="宋体" w:cs="宋体"/>
                <w:color w:val="000000"/>
                <w:sz w:val="30"/>
                <w:szCs w:val="30"/>
              </w:rPr>
            </w:pPr>
            <w:r>
              <w:rPr>
                <w:rFonts w:hint="eastAsia" w:ascii="方正小标宋简体" w:hAnsi="方正小标宋简体" w:eastAsia="方正小标宋简体" w:cs="方正小标宋简体"/>
                <w:color w:val="000000"/>
                <w:kern w:val="0"/>
                <w:sz w:val="36"/>
                <w:szCs w:val="36"/>
                <w:lang w:bidi="ar"/>
              </w:rPr>
              <w:t>政府性基金预算财政拨款收入支出决算表</w:t>
            </w:r>
          </w:p>
        </w:tc>
      </w:tr>
      <w:tr>
        <w:tblPrEx>
          <w:tblCellMar>
            <w:top w:w="0" w:type="dxa"/>
            <w:left w:w="108" w:type="dxa"/>
            <w:bottom w:w="0" w:type="dxa"/>
            <w:right w:w="108" w:type="dxa"/>
          </w:tblCellMar>
        </w:tblPrEx>
        <w:trPr>
          <w:trHeight w:val="310" w:hRule="atLeast"/>
        </w:trPr>
        <w:tc>
          <w:tcPr>
            <w:tcW w:w="3366" w:type="dxa"/>
            <w:tcBorders>
              <w:top w:val="nil"/>
              <w:left w:val="nil"/>
              <w:bottom w:val="nil"/>
              <w:right w:val="nil"/>
            </w:tcBorders>
            <w:noWrap/>
            <w:vAlign w:val="bottom"/>
          </w:tcPr>
          <w:p>
            <w:pPr>
              <w:rPr>
                <w:rFonts w:ascii="黑体" w:hAnsi="黑体" w:eastAsia="黑体" w:cs="黑体"/>
                <w:color w:val="000000"/>
                <w:szCs w:val="21"/>
              </w:rPr>
            </w:pPr>
          </w:p>
        </w:tc>
        <w:tc>
          <w:tcPr>
            <w:tcW w:w="222"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3595" w:type="dxa"/>
            <w:tcBorders>
              <w:top w:val="nil"/>
              <w:left w:val="nil"/>
              <w:bottom w:val="nil"/>
              <w:right w:val="nil"/>
            </w:tcBorders>
            <w:noWrap/>
            <w:vAlign w:val="bottom"/>
          </w:tcPr>
          <w:p>
            <w:pPr>
              <w:rPr>
                <w:rFonts w:ascii="黑体" w:hAnsi="黑体" w:eastAsia="黑体" w:cs="黑体"/>
                <w:color w:val="000000"/>
                <w:szCs w:val="21"/>
              </w:rPr>
            </w:pPr>
          </w:p>
        </w:tc>
        <w:tc>
          <w:tcPr>
            <w:tcW w:w="1025" w:type="dxa"/>
            <w:tcBorders>
              <w:top w:val="nil"/>
              <w:left w:val="nil"/>
              <w:bottom w:val="nil"/>
              <w:right w:val="nil"/>
            </w:tcBorders>
            <w:noWrap/>
            <w:vAlign w:val="bottom"/>
          </w:tcPr>
          <w:p>
            <w:pPr>
              <w:rPr>
                <w:rFonts w:ascii="黑体" w:hAnsi="黑体" w:eastAsia="黑体" w:cs="黑体"/>
                <w:color w:val="000000"/>
                <w:szCs w:val="21"/>
              </w:rPr>
            </w:pPr>
          </w:p>
        </w:tc>
        <w:tc>
          <w:tcPr>
            <w:tcW w:w="1183" w:type="dxa"/>
            <w:tcBorders>
              <w:top w:val="nil"/>
              <w:left w:val="nil"/>
              <w:bottom w:val="nil"/>
              <w:right w:val="nil"/>
            </w:tcBorders>
            <w:noWrap/>
            <w:vAlign w:val="bottom"/>
          </w:tcPr>
          <w:p>
            <w:pPr>
              <w:rPr>
                <w:rFonts w:ascii="黑体" w:hAnsi="黑体" w:eastAsia="黑体" w:cs="黑体"/>
                <w:color w:val="000000"/>
                <w:szCs w:val="21"/>
              </w:rPr>
            </w:pPr>
          </w:p>
        </w:tc>
        <w:tc>
          <w:tcPr>
            <w:tcW w:w="1183" w:type="dxa"/>
            <w:tcBorders>
              <w:top w:val="nil"/>
              <w:left w:val="nil"/>
              <w:bottom w:val="nil"/>
              <w:right w:val="nil"/>
            </w:tcBorders>
            <w:noWrap/>
            <w:vAlign w:val="bottom"/>
          </w:tcPr>
          <w:p>
            <w:pPr>
              <w:rPr>
                <w:rFonts w:ascii="黑体" w:hAnsi="黑体" w:eastAsia="黑体" w:cs="黑体"/>
                <w:color w:val="000000"/>
                <w:szCs w:val="21"/>
              </w:rPr>
            </w:pPr>
          </w:p>
        </w:tc>
        <w:tc>
          <w:tcPr>
            <w:tcW w:w="899" w:type="dxa"/>
            <w:tcBorders>
              <w:top w:val="nil"/>
              <w:left w:val="nil"/>
              <w:bottom w:val="nil"/>
              <w:right w:val="nil"/>
            </w:tcBorders>
            <w:noWrap/>
            <w:vAlign w:val="bottom"/>
          </w:tcPr>
          <w:p>
            <w:pPr>
              <w:rPr>
                <w:rFonts w:ascii="黑体" w:hAnsi="黑体" w:eastAsia="黑体" w:cs="黑体"/>
                <w:color w:val="000000"/>
                <w:szCs w:val="21"/>
              </w:rPr>
            </w:pPr>
          </w:p>
        </w:tc>
        <w:tc>
          <w:tcPr>
            <w:tcW w:w="2209"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公开08表</w:t>
            </w:r>
          </w:p>
        </w:tc>
      </w:tr>
      <w:tr>
        <w:tblPrEx>
          <w:tblCellMar>
            <w:top w:w="0" w:type="dxa"/>
            <w:left w:w="108" w:type="dxa"/>
            <w:bottom w:w="0" w:type="dxa"/>
            <w:right w:w="108" w:type="dxa"/>
          </w:tblCellMar>
        </w:tblPrEx>
        <w:trPr>
          <w:trHeight w:val="310" w:hRule="atLeast"/>
        </w:trPr>
        <w:tc>
          <w:tcPr>
            <w:tcW w:w="3366"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22" w:type="dxa"/>
            <w:tcBorders>
              <w:top w:val="nil"/>
              <w:left w:val="nil"/>
              <w:bottom w:val="nil"/>
              <w:right w:val="nil"/>
            </w:tcBorders>
            <w:noWrap/>
            <w:vAlign w:val="bottom"/>
          </w:tcPr>
          <w:p>
            <w:pPr>
              <w:rPr>
                <w:rFonts w:ascii="黑体" w:hAnsi="黑体" w:eastAsia="黑体" w:cs="黑体"/>
                <w:color w:val="000000"/>
                <w:szCs w:val="21"/>
              </w:rPr>
            </w:pPr>
          </w:p>
        </w:tc>
        <w:tc>
          <w:tcPr>
            <w:tcW w:w="240" w:type="dxa"/>
            <w:tcBorders>
              <w:top w:val="nil"/>
              <w:left w:val="nil"/>
              <w:bottom w:val="nil"/>
              <w:right w:val="nil"/>
            </w:tcBorders>
            <w:noWrap/>
            <w:vAlign w:val="bottom"/>
          </w:tcPr>
          <w:p>
            <w:pPr>
              <w:rPr>
                <w:rFonts w:ascii="黑体" w:hAnsi="黑体" w:eastAsia="黑体" w:cs="黑体"/>
                <w:color w:val="000000"/>
                <w:szCs w:val="21"/>
              </w:rPr>
            </w:pPr>
          </w:p>
        </w:tc>
        <w:tc>
          <w:tcPr>
            <w:tcW w:w="3595" w:type="dxa"/>
            <w:tcBorders>
              <w:top w:val="nil"/>
              <w:left w:val="nil"/>
              <w:bottom w:val="nil"/>
              <w:right w:val="nil"/>
            </w:tcBorders>
            <w:noWrap/>
            <w:vAlign w:val="bottom"/>
          </w:tcPr>
          <w:p>
            <w:pPr>
              <w:rPr>
                <w:rFonts w:ascii="黑体" w:hAnsi="黑体" w:eastAsia="黑体" w:cs="黑体"/>
                <w:color w:val="000000"/>
                <w:szCs w:val="21"/>
              </w:rPr>
            </w:pPr>
          </w:p>
        </w:tc>
        <w:tc>
          <w:tcPr>
            <w:tcW w:w="1025" w:type="dxa"/>
            <w:tcBorders>
              <w:top w:val="nil"/>
              <w:left w:val="nil"/>
              <w:bottom w:val="nil"/>
              <w:right w:val="nil"/>
            </w:tcBorders>
            <w:noWrap/>
            <w:vAlign w:val="bottom"/>
          </w:tcPr>
          <w:p>
            <w:pPr>
              <w:rPr>
                <w:rFonts w:ascii="黑体" w:hAnsi="黑体" w:eastAsia="黑体" w:cs="黑体"/>
                <w:color w:val="000000"/>
                <w:szCs w:val="21"/>
              </w:rPr>
            </w:pPr>
          </w:p>
        </w:tc>
        <w:tc>
          <w:tcPr>
            <w:tcW w:w="1183" w:type="dxa"/>
            <w:tcBorders>
              <w:top w:val="nil"/>
              <w:left w:val="nil"/>
              <w:bottom w:val="nil"/>
              <w:right w:val="nil"/>
            </w:tcBorders>
            <w:noWrap/>
            <w:vAlign w:val="bottom"/>
          </w:tcPr>
          <w:p>
            <w:pPr>
              <w:rPr>
                <w:rFonts w:ascii="黑体" w:hAnsi="黑体" w:eastAsia="黑体" w:cs="黑体"/>
                <w:color w:val="000000"/>
                <w:szCs w:val="21"/>
              </w:rPr>
            </w:pPr>
          </w:p>
        </w:tc>
        <w:tc>
          <w:tcPr>
            <w:tcW w:w="1183" w:type="dxa"/>
            <w:tcBorders>
              <w:top w:val="nil"/>
              <w:left w:val="nil"/>
              <w:bottom w:val="nil"/>
              <w:right w:val="nil"/>
            </w:tcBorders>
            <w:noWrap/>
            <w:vAlign w:val="bottom"/>
          </w:tcPr>
          <w:p>
            <w:pPr>
              <w:rPr>
                <w:rFonts w:ascii="黑体" w:hAnsi="黑体" w:eastAsia="黑体" w:cs="黑体"/>
                <w:color w:val="000000"/>
                <w:szCs w:val="21"/>
              </w:rPr>
            </w:pPr>
          </w:p>
        </w:tc>
        <w:tc>
          <w:tcPr>
            <w:tcW w:w="899" w:type="dxa"/>
            <w:tcBorders>
              <w:top w:val="nil"/>
              <w:left w:val="nil"/>
              <w:bottom w:val="nil"/>
              <w:right w:val="nil"/>
            </w:tcBorders>
            <w:noWrap/>
            <w:vAlign w:val="bottom"/>
          </w:tcPr>
          <w:p>
            <w:pPr>
              <w:rPr>
                <w:rFonts w:ascii="黑体" w:hAnsi="黑体" w:eastAsia="黑体" w:cs="黑体"/>
                <w:color w:val="000000"/>
                <w:szCs w:val="21"/>
              </w:rPr>
            </w:pPr>
          </w:p>
        </w:tc>
        <w:tc>
          <w:tcPr>
            <w:tcW w:w="2209"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596" w:hRule="atLeast"/>
        </w:trPr>
        <w:tc>
          <w:tcPr>
            <w:tcW w:w="7423"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1025"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年初结转和结余</w:t>
            </w:r>
          </w:p>
        </w:tc>
        <w:tc>
          <w:tcPr>
            <w:tcW w:w="1183"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本年收入</w:t>
            </w:r>
          </w:p>
        </w:tc>
        <w:tc>
          <w:tcPr>
            <w:tcW w:w="3252" w:type="dxa"/>
            <w:gridSpan w:val="3"/>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本年支出</w:t>
            </w:r>
          </w:p>
        </w:tc>
        <w:tc>
          <w:tcPr>
            <w:tcW w:w="1039"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年末结转和结余</w:t>
            </w:r>
          </w:p>
        </w:tc>
      </w:tr>
      <w:tr>
        <w:tblPrEx>
          <w:tblCellMar>
            <w:top w:w="0" w:type="dxa"/>
            <w:left w:w="108" w:type="dxa"/>
            <w:bottom w:w="0" w:type="dxa"/>
            <w:right w:w="108" w:type="dxa"/>
          </w:tblCellMar>
        </w:tblPrEx>
        <w:trPr>
          <w:trHeight w:val="312" w:hRule="atLeast"/>
        </w:trPr>
        <w:tc>
          <w:tcPr>
            <w:tcW w:w="3828"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功能分类科目编码</w:t>
            </w:r>
          </w:p>
        </w:tc>
        <w:tc>
          <w:tcPr>
            <w:tcW w:w="3595"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102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小计</w:t>
            </w:r>
          </w:p>
        </w:tc>
        <w:tc>
          <w:tcPr>
            <w:tcW w:w="899"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基本支出</w:t>
            </w:r>
          </w:p>
        </w:tc>
        <w:tc>
          <w:tcPr>
            <w:tcW w:w="117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项目支出</w:t>
            </w:r>
          </w:p>
        </w:tc>
        <w:tc>
          <w:tcPr>
            <w:tcW w:w="103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12" w:hRule="atLeast"/>
        </w:trPr>
        <w:tc>
          <w:tcPr>
            <w:tcW w:w="382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3595"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02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99"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7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03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12" w:hRule="atLeast"/>
        </w:trPr>
        <w:tc>
          <w:tcPr>
            <w:tcW w:w="3828"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3595"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02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8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899"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70"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039"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96" w:hRule="atLeast"/>
        </w:trPr>
        <w:tc>
          <w:tcPr>
            <w:tcW w:w="7423"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栏次</w:t>
            </w:r>
          </w:p>
        </w:tc>
        <w:tc>
          <w:tcPr>
            <w:tcW w:w="102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1183"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1183"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89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w:t>
            </w:r>
          </w:p>
        </w:tc>
        <w:tc>
          <w:tcPr>
            <w:tcW w:w="117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w:t>
            </w:r>
          </w:p>
        </w:tc>
        <w:tc>
          <w:tcPr>
            <w:tcW w:w="1039"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w:t>
            </w:r>
          </w:p>
        </w:tc>
      </w:tr>
      <w:tr>
        <w:tblPrEx>
          <w:tblCellMar>
            <w:top w:w="0" w:type="dxa"/>
            <w:left w:w="108" w:type="dxa"/>
            <w:bottom w:w="0" w:type="dxa"/>
            <w:right w:w="108" w:type="dxa"/>
          </w:tblCellMar>
        </w:tblPrEx>
        <w:trPr>
          <w:trHeight w:val="596" w:hRule="atLeast"/>
        </w:trPr>
        <w:tc>
          <w:tcPr>
            <w:tcW w:w="7423"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0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p>
        </w:tc>
        <w:tc>
          <w:tcPr>
            <w:tcW w:w="89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117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b/>
                <w:color w:val="000000"/>
                <w:szCs w:val="21"/>
              </w:rPr>
            </w:pPr>
          </w:p>
        </w:tc>
        <w:tc>
          <w:tcPr>
            <w:tcW w:w="103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r>
      <w:tr>
        <w:tblPrEx>
          <w:tblCellMar>
            <w:top w:w="0" w:type="dxa"/>
            <w:left w:w="108" w:type="dxa"/>
            <w:bottom w:w="0" w:type="dxa"/>
            <w:right w:w="108" w:type="dxa"/>
          </w:tblCellMar>
        </w:tblPrEx>
        <w:trPr>
          <w:trHeight w:val="596" w:hRule="atLeast"/>
        </w:trPr>
        <w:tc>
          <w:tcPr>
            <w:tcW w:w="382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3595"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10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89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03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96" w:hRule="atLeast"/>
        </w:trPr>
        <w:tc>
          <w:tcPr>
            <w:tcW w:w="382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3595"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10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89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03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96" w:hRule="atLeast"/>
        </w:trPr>
        <w:tc>
          <w:tcPr>
            <w:tcW w:w="3828" w:type="dxa"/>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3595" w:type="dxa"/>
            <w:tcBorders>
              <w:top w:val="nil"/>
              <w:left w:val="nil"/>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p>
        </w:tc>
        <w:tc>
          <w:tcPr>
            <w:tcW w:w="1025"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183"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89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0" w:type="dxa"/>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p>
        </w:tc>
        <w:tc>
          <w:tcPr>
            <w:tcW w:w="1039"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96" w:hRule="atLeast"/>
        </w:trPr>
        <w:tc>
          <w:tcPr>
            <w:tcW w:w="13922" w:type="dxa"/>
            <w:gridSpan w:val="10"/>
            <w:tcBorders>
              <w:top w:val="nil"/>
              <w:left w:val="nil"/>
              <w:bottom w:val="nil"/>
              <w:right w:val="nil"/>
            </w:tcBorders>
            <w:noWrap/>
            <w:vAlign w:val="center"/>
          </w:tcPr>
          <w:p>
            <w:pPr>
              <w:widowControl/>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注：本表反映部门本年度政府性基金预算财政拨款收入、支出及结转和结余情况。</w:t>
            </w:r>
          </w:p>
          <w:p>
            <w:pPr>
              <w:pStyle w:val="2"/>
              <w:rPr>
                <w:lang w:bidi="ar"/>
              </w:rPr>
            </w:pPr>
            <w:r>
              <w:rPr>
                <w:rFonts w:hint="eastAsia"/>
                <w:lang w:bidi="ar"/>
              </w:rPr>
              <w:t>说明：大同市妇女儿童教育中心没有政府性基金预算财政拨款，故本表无数据。</w:t>
            </w:r>
          </w:p>
        </w:tc>
      </w:tr>
    </w:tbl>
    <w:p>
      <w:pPr>
        <w:pStyle w:val="3"/>
        <w:spacing w:line="600" w:lineRule="exact"/>
        <w:ind w:left="0" w:leftChars="0"/>
        <w:rPr>
          <w:rFonts w:ascii="黑体" w:hAnsi="黑体" w:eastAsia="黑体" w:cs="黑体"/>
          <w:sz w:val="32"/>
          <w:szCs w:val="32"/>
        </w:rPr>
        <w:sectPr>
          <w:pgSz w:w="16838" w:h="11906" w:orient="landscape"/>
          <w:pgMar w:top="1800" w:right="1440" w:bottom="1800" w:left="1440" w:header="851" w:footer="992" w:gutter="0"/>
          <w:cols w:space="720" w:num="1"/>
          <w:docGrid w:type="lines" w:linePitch="312" w:charSpace="0"/>
        </w:sectPr>
      </w:pPr>
    </w:p>
    <w:tbl>
      <w:tblPr>
        <w:tblStyle w:val="6"/>
        <w:tblW w:w="8339" w:type="dxa"/>
        <w:tblInd w:w="93" w:type="dxa"/>
        <w:tblLayout w:type="fixed"/>
        <w:tblCellMar>
          <w:top w:w="0" w:type="dxa"/>
          <w:left w:w="108" w:type="dxa"/>
          <w:bottom w:w="0" w:type="dxa"/>
          <w:right w:w="108" w:type="dxa"/>
        </w:tblCellMar>
      </w:tblPr>
      <w:tblGrid>
        <w:gridCol w:w="3353"/>
        <w:gridCol w:w="236"/>
        <w:gridCol w:w="236"/>
        <w:gridCol w:w="1092"/>
        <w:gridCol w:w="1037"/>
        <w:gridCol w:w="1212"/>
        <w:gridCol w:w="1173"/>
      </w:tblGrid>
      <w:tr>
        <w:tblPrEx>
          <w:tblCellMar>
            <w:top w:w="0" w:type="dxa"/>
            <w:left w:w="108" w:type="dxa"/>
            <w:bottom w:w="0" w:type="dxa"/>
            <w:right w:w="108" w:type="dxa"/>
          </w:tblCellMar>
        </w:tblPrEx>
        <w:trPr>
          <w:trHeight w:val="609" w:hRule="atLeast"/>
        </w:trPr>
        <w:tc>
          <w:tcPr>
            <w:tcW w:w="8339" w:type="dxa"/>
            <w:gridSpan w:val="7"/>
            <w:tcBorders>
              <w:top w:val="nil"/>
              <w:left w:val="nil"/>
              <w:bottom w:val="nil"/>
              <w:right w:val="nil"/>
            </w:tcBorders>
            <w:noWrap/>
            <w:vAlign w:val="bottom"/>
          </w:tcPr>
          <w:p>
            <w:pPr>
              <w:widowControl/>
              <w:jc w:val="center"/>
              <w:textAlignment w:val="bottom"/>
              <w:rPr>
                <w:rFonts w:ascii="宋体" w:hAnsi="宋体" w:cs="宋体"/>
                <w:color w:val="000000"/>
                <w:sz w:val="30"/>
                <w:szCs w:val="30"/>
              </w:rPr>
            </w:pPr>
            <w:bookmarkStart w:id="0" w:name="_Hlk109945612"/>
            <w:r>
              <w:rPr>
                <w:rFonts w:hint="eastAsia" w:ascii="方正小标宋简体" w:hAnsi="方正小标宋简体" w:eastAsia="方正小标宋简体" w:cs="方正小标宋简体"/>
                <w:color w:val="000000"/>
                <w:kern w:val="0"/>
                <w:sz w:val="36"/>
                <w:szCs w:val="36"/>
                <w:lang w:bidi="ar"/>
              </w:rPr>
              <w:t>国有资本经营预算财政拨款支出</w:t>
            </w:r>
            <w:bookmarkEnd w:id="0"/>
            <w:r>
              <w:rPr>
                <w:rFonts w:hint="eastAsia" w:ascii="方正小标宋简体" w:hAnsi="方正小标宋简体" w:eastAsia="方正小标宋简体" w:cs="方正小标宋简体"/>
                <w:color w:val="000000"/>
                <w:kern w:val="0"/>
                <w:sz w:val="36"/>
                <w:szCs w:val="36"/>
                <w:lang w:bidi="ar"/>
              </w:rPr>
              <w:t>决算表</w:t>
            </w:r>
          </w:p>
        </w:tc>
      </w:tr>
      <w:tr>
        <w:tblPrEx>
          <w:tblCellMar>
            <w:top w:w="0" w:type="dxa"/>
            <w:left w:w="108" w:type="dxa"/>
            <w:bottom w:w="0" w:type="dxa"/>
            <w:right w:w="108" w:type="dxa"/>
          </w:tblCellMar>
        </w:tblPrEx>
        <w:trPr>
          <w:trHeight w:val="322" w:hRule="atLeast"/>
        </w:trPr>
        <w:tc>
          <w:tcPr>
            <w:tcW w:w="3353" w:type="dxa"/>
            <w:tcBorders>
              <w:top w:val="nil"/>
              <w:left w:val="nil"/>
              <w:bottom w:val="nil"/>
              <w:right w:val="nil"/>
            </w:tcBorders>
            <w:noWrap/>
            <w:vAlign w:val="bottom"/>
          </w:tcPr>
          <w:p>
            <w:pPr>
              <w:rPr>
                <w:rFonts w:ascii="黑体" w:hAnsi="黑体" w:eastAsia="黑体" w:cs="黑体"/>
                <w:color w:val="000000"/>
                <w:szCs w:val="21"/>
              </w:rPr>
            </w:pPr>
          </w:p>
        </w:tc>
        <w:tc>
          <w:tcPr>
            <w:tcW w:w="236" w:type="dxa"/>
            <w:tcBorders>
              <w:top w:val="nil"/>
              <w:left w:val="nil"/>
              <w:bottom w:val="nil"/>
              <w:right w:val="nil"/>
            </w:tcBorders>
            <w:noWrap/>
            <w:vAlign w:val="bottom"/>
          </w:tcPr>
          <w:p>
            <w:pPr>
              <w:rPr>
                <w:rFonts w:ascii="黑体" w:hAnsi="黑体" w:eastAsia="黑体" w:cs="黑体"/>
                <w:color w:val="000000"/>
                <w:szCs w:val="21"/>
              </w:rPr>
            </w:pPr>
          </w:p>
        </w:tc>
        <w:tc>
          <w:tcPr>
            <w:tcW w:w="236" w:type="dxa"/>
            <w:tcBorders>
              <w:top w:val="nil"/>
              <w:left w:val="nil"/>
              <w:bottom w:val="nil"/>
              <w:right w:val="nil"/>
            </w:tcBorders>
            <w:noWrap/>
            <w:vAlign w:val="bottom"/>
          </w:tcPr>
          <w:p>
            <w:pPr>
              <w:rPr>
                <w:rFonts w:ascii="黑体" w:hAnsi="黑体" w:eastAsia="黑体" w:cs="黑体"/>
                <w:color w:val="000000"/>
                <w:szCs w:val="21"/>
              </w:rPr>
            </w:pPr>
          </w:p>
        </w:tc>
        <w:tc>
          <w:tcPr>
            <w:tcW w:w="1092" w:type="dxa"/>
            <w:tcBorders>
              <w:top w:val="nil"/>
              <w:left w:val="nil"/>
              <w:bottom w:val="nil"/>
              <w:right w:val="nil"/>
            </w:tcBorders>
            <w:noWrap/>
            <w:vAlign w:val="bottom"/>
          </w:tcPr>
          <w:p>
            <w:pPr>
              <w:rPr>
                <w:rFonts w:ascii="黑体" w:hAnsi="黑体" w:eastAsia="黑体" w:cs="黑体"/>
                <w:color w:val="000000"/>
                <w:szCs w:val="21"/>
              </w:rPr>
            </w:pPr>
          </w:p>
        </w:tc>
        <w:tc>
          <w:tcPr>
            <w:tcW w:w="1037" w:type="dxa"/>
            <w:tcBorders>
              <w:top w:val="nil"/>
              <w:left w:val="nil"/>
              <w:bottom w:val="nil"/>
              <w:right w:val="nil"/>
            </w:tcBorders>
            <w:noWrap/>
            <w:vAlign w:val="bottom"/>
          </w:tcPr>
          <w:p>
            <w:pPr>
              <w:rPr>
                <w:rFonts w:ascii="黑体" w:hAnsi="黑体" w:eastAsia="黑体" w:cs="黑体"/>
                <w:color w:val="000000"/>
                <w:szCs w:val="21"/>
              </w:rPr>
            </w:pPr>
          </w:p>
        </w:tc>
        <w:tc>
          <w:tcPr>
            <w:tcW w:w="2385"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公开09表</w:t>
            </w:r>
          </w:p>
        </w:tc>
      </w:tr>
      <w:tr>
        <w:tblPrEx>
          <w:tblCellMar>
            <w:top w:w="0" w:type="dxa"/>
            <w:left w:w="108" w:type="dxa"/>
            <w:bottom w:w="0" w:type="dxa"/>
            <w:right w:w="108" w:type="dxa"/>
          </w:tblCellMar>
        </w:tblPrEx>
        <w:trPr>
          <w:trHeight w:val="322" w:hRule="atLeast"/>
        </w:trPr>
        <w:tc>
          <w:tcPr>
            <w:tcW w:w="3353" w:type="dxa"/>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部门：大同市妇女儿童教育中心（本级）</w:t>
            </w:r>
          </w:p>
        </w:tc>
        <w:tc>
          <w:tcPr>
            <w:tcW w:w="236" w:type="dxa"/>
            <w:tcBorders>
              <w:top w:val="nil"/>
              <w:left w:val="nil"/>
              <w:bottom w:val="nil"/>
              <w:right w:val="nil"/>
            </w:tcBorders>
            <w:noWrap/>
            <w:vAlign w:val="bottom"/>
          </w:tcPr>
          <w:p>
            <w:pPr>
              <w:rPr>
                <w:rFonts w:ascii="黑体" w:hAnsi="黑体" w:eastAsia="黑体" w:cs="黑体"/>
                <w:color w:val="000000"/>
                <w:szCs w:val="21"/>
              </w:rPr>
            </w:pPr>
          </w:p>
        </w:tc>
        <w:tc>
          <w:tcPr>
            <w:tcW w:w="236" w:type="dxa"/>
            <w:tcBorders>
              <w:top w:val="nil"/>
              <w:left w:val="nil"/>
              <w:bottom w:val="nil"/>
              <w:right w:val="nil"/>
            </w:tcBorders>
            <w:noWrap/>
            <w:vAlign w:val="bottom"/>
          </w:tcPr>
          <w:p>
            <w:pPr>
              <w:rPr>
                <w:rFonts w:ascii="黑体" w:hAnsi="黑体" w:eastAsia="黑体" w:cs="黑体"/>
                <w:color w:val="000000"/>
                <w:szCs w:val="21"/>
              </w:rPr>
            </w:pPr>
          </w:p>
        </w:tc>
        <w:tc>
          <w:tcPr>
            <w:tcW w:w="1092" w:type="dxa"/>
            <w:tcBorders>
              <w:top w:val="nil"/>
              <w:left w:val="nil"/>
              <w:bottom w:val="nil"/>
              <w:right w:val="nil"/>
            </w:tcBorders>
            <w:noWrap/>
            <w:vAlign w:val="bottom"/>
          </w:tcPr>
          <w:p>
            <w:pPr>
              <w:rPr>
                <w:rFonts w:ascii="黑体" w:hAnsi="黑体" w:eastAsia="黑体" w:cs="黑体"/>
                <w:color w:val="000000"/>
                <w:szCs w:val="21"/>
              </w:rPr>
            </w:pPr>
          </w:p>
        </w:tc>
        <w:tc>
          <w:tcPr>
            <w:tcW w:w="1037" w:type="dxa"/>
            <w:tcBorders>
              <w:top w:val="nil"/>
              <w:left w:val="nil"/>
              <w:bottom w:val="nil"/>
              <w:right w:val="nil"/>
            </w:tcBorders>
            <w:noWrap/>
            <w:vAlign w:val="bottom"/>
          </w:tcPr>
          <w:p>
            <w:pPr>
              <w:rPr>
                <w:rFonts w:ascii="黑体" w:hAnsi="黑体" w:eastAsia="黑体" w:cs="黑体"/>
                <w:color w:val="000000"/>
                <w:szCs w:val="21"/>
              </w:rPr>
            </w:pPr>
          </w:p>
        </w:tc>
        <w:tc>
          <w:tcPr>
            <w:tcW w:w="2385" w:type="dxa"/>
            <w:gridSpan w:val="2"/>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619" w:hRule="atLeast"/>
        </w:trPr>
        <w:tc>
          <w:tcPr>
            <w:tcW w:w="4917"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3422" w:type="dxa"/>
            <w:gridSpan w:val="3"/>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本年支出</w:t>
            </w:r>
          </w:p>
        </w:tc>
      </w:tr>
      <w:tr>
        <w:tblPrEx>
          <w:tblCellMar>
            <w:top w:w="0" w:type="dxa"/>
            <w:left w:w="108" w:type="dxa"/>
            <w:bottom w:w="0" w:type="dxa"/>
            <w:right w:w="108" w:type="dxa"/>
          </w:tblCellMar>
        </w:tblPrEx>
        <w:trPr>
          <w:trHeight w:val="312" w:hRule="atLeast"/>
        </w:trPr>
        <w:tc>
          <w:tcPr>
            <w:tcW w:w="3825"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功能分类科目编码</w:t>
            </w:r>
          </w:p>
        </w:tc>
        <w:tc>
          <w:tcPr>
            <w:tcW w:w="1092"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科目名称</w:t>
            </w:r>
          </w:p>
        </w:tc>
        <w:tc>
          <w:tcPr>
            <w:tcW w:w="1037"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212"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基本支出</w:t>
            </w:r>
          </w:p>
        </w:tc>
        <w:tc>
          <w:tcPr>
            <w:tcW w:w="1173"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项目支出</w:t>
            </w:r>
          </w:p>
        </w:tc>
      </w:tr>
      <w:tr>
        <w:tblPrEx>
          <w:tblCellMar>
            <w:top w:w="0" w:type="dxa"/>
            <w:left w:w="108" w:type="dxa"/>
            <w:bottom w:w="0" w:type="dxa"/>
            <w:right w:w="108" w:type="dxa"/>
          </w:tblCellMar>
        </w:tblPrEx>
        <w:trPr>
          <w:trHeight w:val="312" w:hRule="atLeast"/>
        </w:trPr>
        <w:tc>
          <w:tcPr>
            <w:tcW w:w="3825"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092"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037"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212"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7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312" w:hRule="atLeast"/>
        </w:trPr>
        <w:tc>
          <w:tcPr>
            <w:tcW w:w="3825"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092"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1037"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212"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c>
          <w:tcPr>
            <w:tcW w:w="1173" w:type="dxa"/>
            <w:vMerge w:val="continue"/>
            <w:tcBorders>
              <w:top w:val="nil"/>
              <w:left w:val="nil"/>
              <w:bottom w:val="single" w:color="000000" w:sz="4" w:space="0"/>
              <w:right w:val="single" w:color="000000" w:sz="4" w:space="0"/>
            </w:tcBorders>
            <w:shd w:val="clear" w:color="FFFFFF" w:fill="C0C0C0"/>
            <w:vAlign w:val="center"/>
          </w:tcPr>
          <w:p>
            <w:pPr>
              <w:jc w:val="center"/>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529" w:hRule="atLeast"/>
        </w:trPr>
        <w:tc>
          <w:tcPr>
            <w:tcW w:w="4917"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栏次</w:t>
            </w:r>
          </w:p>
        </w:tc>
        <w:tc>
          <w:tcPr>
            <w:tcW w:w="1037"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1212"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1173"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r>
      <w:tr>
        <w:tblPrEx>
          <w:tblCellMar>
            <w:top w:w="0" w:type="dxa"/>
            <w:left w:w="108" w:type="dxa"/>
            <w:bottom w:w="0" w:type="dxa"/>
            <w:right w:w="108" w:type="dxa"/>
          </w:tblCellMar>
        </w:tblPrEx>
        <w:trPr>
          <w:trHeight w:val="619" w:hRule="atLeast"/>
        </w:trPr>
        <w:tc>
          <w:tcPr>
            <w:tcW w:w="4917"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103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121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c>
          <w:tcPr>
            <w:tcW w:w="1173"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b/>
                <w:color w:val="000000"/>
                <w:szCs w:val="21"/>
              </w:rPr>
            </w:pPr>
          </w:p>
        </w:tc>
      </w:tr>
      <w:tr>
        <w:tblPrEx>
          <w:tblCellMar>
            <w:top w:w="0" w:type="dxa"/>
            <w:left w:w="108" w:type="dxa"/>
            <w:bottom w:w="0" w:type="dxa"/>
            <w:right w:w="108" w:type="dxa"/>
          </w:tblCellMar>
        </w:tblPrEx>
        <w:trPr>
          <w:trHeight w:val="619" w:hRule="atLeast"/>
        </w:trPr>
        <w:tc>
          <w:tcPr>
            <w:tcW w:w="3825" w:type="dxa"/>
            <w:gridSpan w:val="3"/>
            <w:tcBorders>
              <w:top w:val="nil"/>
              <w:left w:val="single" w:color="000000" w:sz="4" w:space="0"/>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92" w:type="dxa"/>
            <w:tcBorders>
              <w:top w:val="nil"/>
              <w:left w:val="nil"/>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3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21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3"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19" w:hRule="atLeast"/>
        </w:trPr>
        <w:tc>
          <w:tcPr>
            <w:tcW w:w="3825" w:type="dxa"/>
            <w:gridSpan w:val="3"/>
            <w:tcBorders>
              <w:top w:val="nil"/>
              <w:left w:val="single" w:color="000000" w:sz="4" w:space="0"/>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92" w:type="dxa"/>
            <w:tcBorders>
              <w:top w:val="nil"/>
              <w:left w:val="nil"/>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3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21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3"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619" w:hRule="atLeast"/>
        </w:trPr>
        <w:tc>
          <w:tcPr>
            <w:tcW w:w="3825" w:type="dxa"/>
            <w:gridSpan w:val="3"/>
            <w:tcBorders>
              <w:top w:val="nil"/>
              <w:left w:val="single" w:color="000000" w:sz="4" w:space="0"/>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92" w:type="dxa"/>
            <w:tcBorders>
              <w:top w:val="nil"/>
              <w:left w:val="nil"/>
              <w:bottom w:val="single" w:color="000000" w:sz="4" w:space="0"/>
              <w:right w:val="single" w:color="000000" w:sz="4" w:space="0"/>
            </w:tcBorders>
            <w:noWrap/>
            <w:vAlign w:val="center"/>
          </w:tcPr>
          <w:p>
            <w:pPr>
              <w:jc w:val="left"/>
              <w:rPr>
                <w:rFonts w:ascii="仿宋_GB2312" w:hAnsi="仿宋_GB2312" w:eastAsia="仿宋_GB2312" w:cs="仿宋_GB2312"/>
                <w:color w:val="000000"/>
                <w:szCs w:val="21"/>
              </w:rPr>
            </w:pPr>
          </w:p>
        </w:tc>
        <w:tc>
          <w:tcPr>
            <w:tcW w:w="1037"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212"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c>
          <w:tcPr>
            <w:tcW w:w="1173" w:type="dxa"/>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p>
        </w:tc>
      </w:tr>
      <w:tr>
        <w:tblPrEx>
          <w:tblCellMar>
            <w:top w:w="0" w:type="dxa"/>
            <w:left w:w="108" w:type="dxa"/>
            <w:bottom w:w="0" w:type="dxa"/>
            <w:right w:w="108" w:type="dxa"/>
          </w:tblCellMar>
        </w:tblPrEx>
        <w:trPr>
          <w:trHeight w:val="414" w:hRule="atLeast"/>
        </w:trPr>
        <w:tc>
          <w:tcPr>
            <w:tcW w:w="8339" w:type="dxa"/>
            <w:gridSpan w:val="7"/>
            <w:tcBorders>
              <w:top w:val="nil"/>
              <w:left w:val="nil"/>
              <w:bottom w:val="nil"/>
              <w:right w:val="nil"/>
            </w:tcBorders>
            <w:noWrap/>
            <w:vAlign w:val="center"/>
          </w:tcPr>
          <w:p>
            <w:pPr>
              <w:widowControl/>
              <w:spacing w:line="300" w:lineRule="exact"/>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注：本表反映部门本年度国有资本经营预算财政拨款支出情况。</w:t>
            </w:r>
          </w:p>
        </w:tc>
      </w:tr>
    </w:tbl>
    <w:p>
      <w:pPr>
        <w:pStyle w:val="3"/>
        <w:spacing w:line="300" w:lineRule="exact"/>
        <w:ind w:left="0" w:leftChars="0"/>
        <w:rPr>
          <w:rFonts w:ascii="仿宋_GB2312" w:hAnsi="仿宋_GB2312" w:eastAsia="仿宋_GB2312" w:cs="仿宋_GB2312"/>
          <w:szCs w:val="21"/>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szCs w:val="21"/>
        </w:rPr>
        <w:t>说明：大同市妇女儿童教育中心没有国有资本经营预算财政拨款支出，故本表无数据。</w:t>
      </w:r>
    </w:p>
    <w:tbl>
      <w:tblPr>
        <w:tblStyle w:val="6"/>
        <w:tblW w:w="8280" w:type="dxa"/>
        <w:tblInd w:w="93" w:type="dxa"/>
        <w:tblLayout w:type="autofit"/>
        <w:tblCellMar>
          <w:top w:w="0" w:type="dxa"/>
          <w:left w:w="108" w:type="dxa"/>
          <w:bottom w:w="0" w:type="dxa"/>
          <w:right w:w="108" w:type="dxa"/>
        </w:tblCellMar>
      </w:tblPr>
      <w:tblGrid>
        <w:gridCol w:w="5071"/>
        <w:gridCol w:w="1515"/>
        <w:gridCol w:w="1694"/>
      </w:tblGrid>
      <w:tr>
        <w:tblPrEx>
          <w:tblCellMar>
            <w:top w:w="0" w:type="dxa"/>
            <w:left w:w="108" w:type="dxa"/>
            <w:bottom w:w="0" w:type="dxa"/>
            <w:right w:w="108" w:type="dxa"/>
          </w:tblCellMar>
        </w:tblPrEx>
        <w:trPr>
          <w:trHeight w:val="490" w:hRule="atLeast"/>
        </w:trPr>
        <w:tc>
          <w:tcPr>
            <w:tcW w:w="8280" w:type="dxa"/>
            <w:gridSpan w:val="3"/>
            <w:tcBorders>
              <w:top w:val="nil"/>
              <w:left w:val="nil"/>
              <w:bottom w:val="nil"/>
              <w:right w:val="nil"/>
            </w:tcBorders>
            <w:noWrap/>
            <w:vAlign w:val="bottom"/>
          </w:tcPr>
          <w:p>
            <w:pPr>
              <w:widowControl/>
              <w:jc w:val="center"/>
              <w:textAlignment w:val="bottom"/>
              <w:rPr>
                <w:rFonts w:ascii="宋体" w:hAnsi="宋体" w:cs="宋体"/>
                <w:color w:val="000000"/>
                <w:sz w:val="44"/>
                <w:szCs w:val="44"/>
              </w:rPr>
            </w:pPr>
            <w:r>
              <w:rPr>
                <w:rFonts w:hint="eastAsia" w:ascii="方正小标宋简体" w:hAnsi="方正小标宋简体" w:eastAsia="方正小标宋简体" w:cs="方正小标宋简体"/>
                <w:color w:val="000000"/>
                <w:kern w:val="0"/>
                <w:sz w:val="36"/>
                <w:szCs w:val="36"/>
                <w:lang w:bidi="ar"/>
              </w:rPr>
              <w:t>单位决算公开相关信息统计表</w:t>
            </w:r>
          </w:p>
        </w:tc>
      </w:tr>
      <w:tr>
        <w:tblPrEx>
          <w:tblCellMar>
            <w:top w:w="0" w:type="dxa"/>
            <w:left w:w="108" w:type="dxa"/>
            <w:bottom w:w="0" w:type="dxa"/>
            <w:right w:w="108" w:type="dxa"/>
          </w:tblCellMar>
        </w:tblPrEx>
        <w:trPr>
          <w:trHeight w:val="347" w:hRule="atLeast"/>
        </w:trPr>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rPr>
                <w:rFonts w:ascii="黑体" w:hAnsi="黑体" w:eastAsia="黑体" w:cs="黑体"/>
                <w:color w:val="000000"/>
                <w:szCs w:val="21"/>
              </w:rPr>
            </w:pPr>
          </w:p>
        </w:tc>
        <w:tc>
          <w:tcPr>
            <w:tcW w:w="0" w:type="auto"/>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公开10表</w:t>
            </w:r>
          </w:p>
        </w:tc>
      </w:tr>
      <w:tr>
        <w:tblPrEx>
          <w:tblCellMar>
            <w:top w:w="0" w:type="dxa"/>
            <w:left w:w="108" w:type="dxa"/>
            <w:bottom w:w="0" w:type="dxa"/>
            <w:right w:w="108" w:type="dxa"/>
          </w:tblCellMar>
        </w:tblPrEx>
        <w:trPr>
          <w:trHeight w:val="347" w:hRule="atLeast"/>
        </w:trPr>
        <w:tc>
          <w:tcPr>
            <w:tcW w:w="0" w:type="auto"/>
            <w:tcBorders>
              <w:top w:val="nil"/>
              <w:left w:val="nil"/>
              <w:bottom w:val="nil"/>
              <w:right w:val="nil"/>
            </w:tcBorders>
            <w:noWrap/>
            <w:vAlign w:val="bottom"/>
          </w:tcPr>
          <w:p>
            <w:pPr>
              <w:widowControl/>
              <w:jc w:val="lef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编制单位：大同市妇女儿童教育中心（本级）</w:t>
            </w:r>
          </w:p>
        </w:tc>
        <w:tc>
          <w:tcPr>
            <w:tcW w:w="0" w:type="auto"/>
            <w:tcBorders>
              <w:top w:val="nil"/>
              <w:left w:val="nil"/>
              <w:bottom w:val="nil"/>
              <w:right w:val="nil"/>
            </w:tcBorders>
            <w:noWrap/>
            <w:vAlign w:val="bottom"/>
          </w:tcPr>
          <w:p>
            <w:pPr>
              <w:widowControl/>
              <w:jc w:val="center"/>
              <w:textAlignment w:val="bottom"/>
              <w:rPr>
                <w:rFonts w:ascii="黑体" w:hAnsi="黑体" w:eastAsia="黑体" w:cs="黑体"/>
                <w:color w:val="000000"/>
                <w:szCs w:val="21"/>
              </w:rPr>
            </w:pPr>
            <w:r>
              <w:rPr>
                <w:rFonts w:hint="eastAsia" w:ascii="黑体" w:hAnsi="黑体" w:eastAsia="黑体" w:cs="黑体"/>
                <w:color w:val="000000"/>
                <w:kern w:val="0"/>
                <w:szCs w:val="21"/>
                <w:lang w:bidi="ar"/>
              </w:rPr>
              <w:t>2022年7月</w:t>
            </w:r>
          </w:p>
        </w:tc>
        <w:tc>
          <w:tcPr>
            <w:tcW w:w="0" w:type="auto"/>
            <w:tcBorders>
              <w:top w:val="nil"/>
              <w:left w:val="nil"/>
              <w:bottom w:val="nil"/>
              <w:right w:val="nil"/>
            </w:tcBorders>
            <w:noWrap/>
            <w:vAlign w:val="bottom"/>
          </w:tcPr>
          <w:p>
            <w:pPr>
              <w:widowControl/>
              <w:jc w:val="right"/>
              <w:textAlignment w:val="bottom"/>
              <w:rPr>
                <w:rFonts w:ascii="黑体" w:hAnsi="黑体" w:eastAsia="黑体" w:cs="黑体"/>
                <w:color w:val="000000"/>
                <w:szCs w:val="21"/>
              </w:rPr>
            </w:pPr>
            <w:r>
              <w:rPr>
                <w:rFonts w:hint="eastAsia" w:ascii="黑体" w:hAnsi="黑体" w:eastAsia="黑体" w:cs="黑体"/>
                <w:color w:val="000000"/>
                <w:kern w:val="0"/>
                <w:szCs w:val="21"/>
                <w:lang w:bidi="ar"/>
              </w:rPr>
              <w:t>金额单位：元</w:t>
            </w:r>
          </w:p>
        </w:tc>
      </w:tr>
      <w:tr>
        <w:tblPrEx>
          <w:tblCellMar>
            <w:top w:w="0" w:type="dxa"/>
            <w:left w:w="108" w:type="dxa"/>
            <w:bottom w:w="0" w:type="dxa"/>
            <w:right w:w="108" w:type="dxa"/>
          </w:tblCellMar>
        </w:tblPrEx>
        <w:trPr>
          <w:trHeight w:val="462"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一、政府采购情况</w:t>
            </w:r>
          </w:p>
        </w:tc>
      </w:tr>
      <w:tr>
        <w:tblPrEx>
          <w:tblCellMar>
            <w:top w:w="0" w:type="dxa"/>
            <w:left w:w="108" w:type="dxa"/>
            <w:bottom w:w="0" w:type="dxa"/>
            <w:right w:w="108" w:type="dxa"/>
          </w:tblCellMar>
        </w:tblPrEx>
        <w:trPr>
          <w:trHeight w:val="42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行次</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采购金额</w:t>
            </w:r>
          </w:p>
        </w:tc>
      </w:tr>
      <w:tr>
        <w:tblPrEx>
          <w:tblCellMar>
            <w:top w:w="0" w:type="dxa"/>
            <w:left w:w="108" w:type="dxa"/>
            <w:bottom w:w="0" w:type="dxa"/>
            <w:right w:w="108" w:type="dxa"/>
          </w:tblCellMar>
        </w:tblPrEx>
        <w:trPr>
          <w:trHeight w:val="40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合计</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货物</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39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工程</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5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服务</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87" w:hRule="atLeast"/>
        </w:trPr>
        <w:tc>
          <w:tcPr>
            <w:tcW w:w="0" w:type="auto"/>
            <w:gridSpan w:val="3"/>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二、机关运行经费</w:t>
            </w:r>
          </w:p>
        </w:tc>
      </w:tr>
      <w:tr>
        <w:tblPrEx>
          <w:tblCellMar>
            <w:top w:w="0" w:type="dxa"/>
            <w:left w:w="108" w:type="dxa"/>
            <w:bottom w:w="0" w:type="dxa"/>
            <w:right w:w="108" w:type="dxa"/>
          </w:tblCellMar>
        </w:tblPrEx>
        <w:trPr>
          <w:trHeight w:val="42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项目</w:t>
            </w:r>
          </w:p>
        </w:tc>
        <w:tc>
          <w:tcPr>
            <w:tcW w:w="0" w:type="auto"/>
            <w:tcBorders>
              <w:top w:val="nil"/>
              <w:left w:val="nil"/>
              <w:bottom w:val="single" w:color="000000" w:sz="4" w:space="0"/>
              <w:right w:val="single" w:color="000000" w:sz="4" w:space="0"/>
            </w:tcBorders>
            <w:shd w:val="clear" w:color="FFFFFF" w:fill="C0C0C0"/>
            <w:noWrap/>
            <w:vAlign w:val="center"/>
          </w:tcPr>
          <w:p>
            <w:pPr>
              <w:jc w:val="center"/>
              <w:rPr>
                <w:rFonts w:ascii="仿宋_GB2312" w:hAnsi="仿宋_GB2312" w:eastAsia="仿宋_GB2312" w:cs="仿宋_GB2312"/>
                <w:color w:val="000000"/>
                <w:szCs w:val="21"/>
              </w:rPr>
            </w:pP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统计数</w:t>
            </w:r>
          </w:p>
        </w:tc>
      </w:tr>
      <w:tr>
        <w:tblPrEx>
          <w:tblCellMar>
            <w:top w:w="0" w:type="dxa"/>
            <w:left w:w="108" w:type="dxa"/>
            <w:bottom w:w="0" w:type="dxa"/>
            <w:right w:w="108" w:type="dxa"/>
          </w:tblCellMar>
        </w:tblPrEx>
        <w:trPr>
          <w:trHeight w:val="47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（一）行政单位</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53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（二）参照公务员法管理事业单位</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42" w:hRule="atLeast"/>
        </w:trPr>
        <w:tc>
          <w:tcPr>
            <w:tcW w:w="0" w:type="auto"/>
            <w:gridSpan w:val="3"/>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lang w:bidi="ar"/>
              </w:rPr>
              <w:t>三、国有资产占用情况</w:t>
            </w:r>
          </w:p>
        </w:tc>
      </w:tr>
      <w:tr>
        <w:tblPrEx>
          <w:tblCellMar>
            <w:top w:w="0" w:type="dxa"/>
            <w:left w:w="108" w:type="dxa"/>
            <w:bottom w:w="0" w:type="dxa"/>
            <w:right w:w="108" w:type="dxa"/>
          </w:tblCellMar>
        </w:tblPrEx>
        <w:trPr>
          <w:trHeight w:val="44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（一）车辆数合计（辆）</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7</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7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1.副部（省）级及以上领导用车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8</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2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2.主要领导干部用车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9</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4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3.机要通信用车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10</w:t>
            </w:r>
          </w:p>
        </w:tc>
        <w:tc>
          <w:tcPr>
            <w:tcW w:w="0" w:type="auto"/>
            <w:tcBorders>
              <w:top w:val="nil"/>
              <w:left w:val="nil"/>
              <w:bottom w:val="single" w:color="000000" w:sz="4" w:space="0"/>
              <w:right w:val="single" w:color="000000" w:sz="4" w:space="0"/>
            </w:tcBorders>
            <w:noWrap/>
            <w:vAlign w:val="center"/>
          </w:tcPr>
          <w:p>
            <w:pPr>
              <w:widowControl/>
              <w:jc w:val="righ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2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4.应急保障用车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11</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1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5.执法执勤用车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12</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7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6.特种专业技术用车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13</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4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7.离退休干部用车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14</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50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8.其他用车</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15</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72"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（二）单价50万元以上通用设备（台、套）</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16</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487"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（三）单价100万元以上专用设备（台、套）</w:t>
            </w:r>
          </w:p>
        </w:tc>
        <w:tc>
          <w:tcPr>
            <w:tcW w:w="0" w:type="auto"/>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17</w:t>
            </w:r>
          </w:p>
        </w:tc>
        <w:tc>
          <w:tcPr>
            <w:tcW w:w="0" w:type="auto"/>
            <w:tcBorders>
              <w:top w:val="nil"/>
              <w:left w:val="nil"/>
              <w:bottom w:val="single" w:color="000000" w:sz="4" w:space="0"/>
              <w:right w:val="single" w:color="000000" w:sz="4" w:space="0"/>
            </w:tcBorders>
            <w:noWrap/>
            <w:vAlign w:val="center"/>
          </w:tcPr>
          <w:p>
            <w:pPr>
              <w:jc w:val="righ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tblPrEx>
          <w:tblCellMar>
            <w:top w:w="0" w:type="dxa"/>
            <w:left w:w="108" w:type="dxa"/>
            <w:bottom w:w="0" w:type="dxa"/>
            <w:right w:w="108" w:type="dxa"/>
          </w:tblCellMar>
        </w:tblPrEx>
        <w:trPr>
          <w:trHeight w:val="508" w:hRule="atLeast"/>
        </w:trPr>
        <w:tc>
          <w:tcPr>
            <w:tcW w:w="0" w:type="auto"/>
            <w:gridSpan w:val="3"/>
            <w:tcBorders>
              <w:top w:val="nil"/>
              <w:left w:val="single" w:color="000000" w:sz="4" w:space="0"/>
              <w:bottom w:val="single" w:color="000000" w:sz="4" w:space="0"/>
              <w:right w:val="single" w:color="000000" w:sz="4" w:space="0"/>
            </w:tcBorders>
            <w:noWrap/>
            <w:vAlign w:val="center"/>
          </w:tcPr>
          <w:p>
            <w:pPr>
              <w:widowControl/>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注：本表反映部门本年度政府采购及机关运行经费和国有资产占用情况。</w:t>
            </w:r>
          </w:p>
        </w:tc>
      </w:tr>
    </w:tbl>
    <w:p>
      <w:pPr>
        <w:pStyle w:val="3"/>
        <w:spacing w:line="600" w:lineRule="exact"/>
        <w:ind w:left="0" w:leftChars="0"/>
        <w:rPr>
          <w:rFonts w:ascii="黑体" w:hAnsi="黑体" w:eastAsia="黑体" w:cs="黑体"/>
          <w:sz w:val="32"/>
          <w:szCs w:val="32"/>
        </w:rPr>
        <w:sectPr>
          <w:pgSz w:w="11906" w:h="16838"/>
          <w:pgMar w:top="1440" w:right="1800" w:bottom="1440" w:left="1800" w:header="851" w:footer="992" w:gutter="0"/>
          <w:cols w:space="720" w:num="1"/>
          <w:docGrid w:type="lines" w:linePitch="312" w:charSpace="0"/>
        </w:sectPr>
      </w:pPr>
    </w:p>
    <w:p>
      <w:pPr>
        <w:pStyle w:val="3"/>
        <w:spacing w:line="560" w:lineRule="exact"/>
        <w:jc w:val="center"/>
        <w:rPr>
          <w:rFonts w:ascii="黑体" w:hAnsi="黑体" w:eastAsia="黑体" w:cs="黑体"/>
          <w:sz w:val="32"/>
          <w:szCs w:val="32"/>
        </w:rPr>
      </w:pPr>
      <w:r>
        <w:rPr>
          <w:rFonts w:hint="eastAsia" w:ascii="黑体" w:hAnsi="黑体" w:eastAsia="黑体" w:cs="黑体"/>
          <w:sz w:val="32"/>
          <w:szCs w:val="32"/>
        </w:rPr>
        <w:t>第三部分  单位决算情况说明</w:t>
      </w:r>
    </w:p>
    <w:p>
      <w:pPr>
        <w:pStyle w:val="3"/>
        <w:spacing w:line="560" w:lineRule="exact"/>
        <w:ind w:left="0" w:leftChars="0"/>
        <w:rPr>
          <w:rFonts w:ascii="黑体" w:hAnsi="黑体" w:eastAsia="黑体" w:cs="黑体"/>
          <w:sz w:val="32"/>
          <w:szCs w:val="32"/>
        </w:rPr>
      </w:pP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一、收入支出决算总体情况说明</w:t>
      </w:r>
    </w:p>
    <w:p>
      <w:pPr>
        <w:pStyle w:val="3"/>
        <w:spacing w:line="560" w:lineRule="exact"/>
        <w:ind w:left="0" w:leftChars="0" w:firstLine="640" w:firstLineChars="200"/>
        <w:rPr>
          <w:rFonts w:ascii="仿宋_GB2312" w:hAnsi="仿宋_GB2312" w:eastAsia="仿宋_GB2312" w:cs="仿宋_GB2312"/>
          <w:sz w:val="32"/>
          <w:szCs w:val="32"/>
        </w:rPr>
      </w:pPr>
      <w:bookmarkStart w:id="1" w:name="_Hlk109942658"/>
      <w:r>
        <w:rPr>
          <w:rFonts w:hint="eastAsia" w:ascii="仿宋_GB2312" w:hAnsi="仿宋_GB2312" w:eastAsia="仿宋_GB2312" w:cs="仿宋_GB2312"/>
          <w:sz w:val="32"/>
          <w:szCs w:val="32"/>
        </w:rPr>
        <w:t>2021年收入652.21万元，比上年减少5.27万元，本年度收入较上年度没有较大幅度的变化，减少原因是年度在职人员减少，造成人员经费减少。</w:t>
      </w:r>
    </w:p>
    <w:bookmarkEnd w:id="1"/>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二、收入决算情况说明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我单位收入来源全部为政府购买服务收入，每年收入相对较稳定。2021年收入652.21万元，比上年减少5.27万元，本年度收入较上年度没有较大幅度的变化，减少原因是年度在职人员减少，造成人员经费减少。</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三、支出决算情况说明</w:t>
      </w:r>
    </w:p>
    <w:p>
      <w:pPr>
        <w:pStyle w:val="3"/>
        <w:spacing w:line="560" w:lineRule="exact"/>
        <w:ind w:left="0" w:leftChars="0" w:firstLine="640" w:firstLineChars="200"/>
        <w:rPr>
          <w:rFonts w:ascii="黑体" w:hAnsi="黑体" w:eastAsia="黑体" w:cs="黑体"/>
          <w:sz w:val="32"/>
          <w:szCs w:val="32"/>
        </w:rPr>
      </w:pPr>
      <w:r>
        <w:rPr>
          <w:rFonts w:hint="eastAsia" w:ascii="仿宋_GB2312" w:hAnsi="仿宋_GB2312" w:eastAsia="仿宋_GB2312" w:cs="仿宋_GB2312"/>
          <w:sz w:val="32"/>
          <w:szCs w:val="32"/>
        </w:rPr>
        <w:t>2021年本年支出合计666.35万元，其中：工资福利资出457.61万元，占总费用的68.67%，较上年增加0.67万元，增幅0.15%，主要是因为增资。商品和服务支出185.30万元，占总费用的27.81%，同比减少1.28万元，减幅0.68%，主要是因为单位维修费较上年度减少。对个人和家庭的补助支出9.30万元，占总费用的1.39%，同比减少4.65万元，减幅33.33%，主要是因为上年度发放职工抚恤金。折旧费用14.15万元，占总费用的2.13%，同比增加3.25万元，增幅29.81%，主要是因为单位新增固定资产计提折旧增加。</w:t>
      </w:r>
    </w:p>
    <w:p>
      <w:pPr>
        <w:pStyle w:val="3"/>
        <w:spacing w:line="560" w:lineRule="exact"/>
        <w:ind w:left="0" w:leftChars="0" w:firstLine="640" w:firstLineChars="200"/>
        <w:rPr>
          <w:rFonts w:ascii="黑体" w:hAnsi="黑体" w:eastAsia="黑体" w:cs="黑体"/>
          <w:sz w:val="32"/>
          <w:szCs w:val="32"/>
        </w:rPr>
      </w:pP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四、财政拨款收入支出决算总体情况说明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年度财政拨款收入支出决算0万元。</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五、</w:t>
      </w:r>
      <w:bookmarkStart w:id="2" w:name="_Hlk147165252"/>
      <w:r>
        <w:rPr>
          <w:rFonts w:hint="eastAsia" w:ascii="黑体" w:hAnsi="黑体" w:eastAsia="黑体" w:cs="黑体"/>
          <w:sz w:val="32"/>
          <w:szCs w:val="32"/>
        </w:rPr>
        <w:t>一般公共预算财政拨款支出决算</w:t>
      </w:r>
      <w:bookmarkEnd w:id="2"/>
      <w:r>
        <w:rPr>
          <w:rFonts w:hint="eastAsia" w:ascii="黑体" w:hAnsi="黑体" w:eastAsia="黑体" w:cs="黑体"/>
          <w:sz w:val="32"/>
          <w:szCs w:val="32"/>
        </w:rPr>
        <w:t>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年度一般公共预算财政拨款支出决算0万元。</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六、一般公共预算财政拨款基本支出决算情况说明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年度一般公共预算财政拨款基本支出决算0万元.</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七、一般公共预算财政拨款“三公”经费支出决算情况说明</w:t>
      </w:r>
    </w:p>
    <w:p>
      <w:pPr>
        <w:ind w:firstLine="640" w:firstLineChars="200"/>
        <w:rPr>
          <w:rFonts w:ascii="仿宋" w:hAnsi="仿宋" w:eastAsia="仿宋"/>
          <w:sz w:val="32"/>
          <w:szCs w:val="32"/>
        </w:rPr>
      </w:pPr>
      <w:r>
        <w:rPr>
          <w:rFonts w:hint="eastAsia" w:ascii="仿宋" w:hAnsi="仿宋" w:eastAsia="仿宋"/>
          <w:sz w:val="32"/>
          <w:szCs w:val="32"/>
        </w:rPr>
        <w:t>2021年度“三公”经费</w:t>
      </w:r>
      <w:r>
        <w:rPr>
          <w:rFonts w:hint="eastAsia" w:ascii="仿宋" w:hAnsi="仿宋" w:eastAsia="仿宋"/>
          <w:sz w:val="32"/>
          <w:szCs w:val="32"/>
          <w:lang w:eastAsia="zh-CN"/>
        </w:rPr>
        <w:t>公务用车保有量</w:t>
      </w:r>
      <w:r>
        <w:rPr>
          <w:rFonts w:hint="eastAsia" w:ascii="仿宋" w:hAnsi="仿宋" w:eastAsia="仿宋"/>
          <w:sz w:val="32"/>
          <w:szCs w:val="32"/>
          <w:lang w:val="en-US" w:eastAsia="zh-CN"/>
        </w:rPr>
        <w:t>0辆，</w:t>
      </w:r>
      <w:bookmarkStart w:id="4" w:name="_GoBack"/>
      <w:bookmarkEnd w:id="4"/>
      <w:r>
        <w:rPr>
          <w:rFonts w:hint="eastAsia" w:ascii="仿宋" w:hAnsi="仿宋" w:eastAsia="仿宋"/>
          <w:sz w:val="32"/>
          <w:szCs w:val="32"/>
        </w:rPr>
        <w:t>财政拨款支出决算0万元。其中公务车运行维护费为0万元，公务用车购置费为0万元，2021年未购置公务用车，年末公务用车保有量为0辆。2021年因公出国（境）支出决算数为0万元；公务接待费支出决算数为0万元。</w:t>
      </w:r>
      <w:r>
        <w:rPr>
          <w:rFonts w:hint="eastAsia" w:ascii="仿宋_GB2312" w:hAnsi="仿宋_GB2312" w:eastAsia="仿宋_GB2312" w:cs="仿宋_GB2312"/>
          <w:sz w:val="32"/>
          <w:szCs w:val="32"/>
        </w:rPr>
        <w:t>与上年相比没有变化。</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八、</w:t>
      </w:r>
      <w:bookmarkStart w:id="3" w:name="_Hlk147165391"/>
      <w:r>
        <w:rPr>
          <w:rFonts w:hint="eastAsia" w:ascii="黑体" w:hAnsi="黑体" w:eastAsia="黑体" w:cs="黑体"/>
          <w:sz w:val="32"/>
          <w:szCs w:val="32"/>
        </w:rPr>
        <w:t>政府性基金预算财政拨款收支决算</w:t>
      </w:r>
      <w:bookmarkEnd w:id="3"/>
      <w:r>
        <w:rPr>
          <w:rFonts w:hint="eastAsia" w:ascii="黑体" w:hAnsi="黑体" w:eastAsia="黑体" w:cs="黑体"/>
          <w:sz w:val="32"/>
          <w:szCs w:val="32"/>
        </w:rPr>
        <w:t>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年度政府性基金预算财政拨款收支决算0万元。</w:t>
      </w:r>
    </w:p>
    <w:p>
      <w:pPr>
        <w:pStyle w:val="3"/>
        <w:spacing w:line="560" w:lineRule="exact"/>
        <w:ind w:left="0" w:leftChars="0" w:firstLine="640" w:firstLineChars="200"/>
        <w:rPr>
          <w:rFonts w:ascii="黑体" w:hAnsi="黑体" w:eastAsia="黑体" w:cs="黑体"/>
          <w:sz w:val="32"/>
          <w:szCs w:val="32"/>
        </w:rPr>
      </w:pPr>
      <w:r>
        <w:rPr>
          <w:rFonts w:hint="eastAsia" w:ascii="黑体" w:hAnsi="黑体" w:eastAsia="黑体" w:cs="黑体"/>
          <w:sz w:val="32"/>
          <w:szCs w:val="32"/>
        </w:rPr>
        <w:t>九、其他重要事项情况说明</w:t>
      </w:r>
    </w:p>
    <w:p>
      <w:pPr>
        <w:pStyle w:val="3"/>
        <w:spacing w:line="560" w:lineRule="exact"/>
        <w:ind w:left="0" w:leftChars="0"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（一）机关运行经费支出情况说明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年度无机关运行经费支出。</w:t>
      </w:r>
    </w:p>
    <w:p>
      <w:pPr>
        <w:pStyle w:val="3"/>
        <w:spacing w:line="560" w:lineRule="exact"/>
        <w:ind w:left="0" w:leftChars="0"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（二）政府采购情况说明</w:t>
      </w:r>
    </w:p>
    <w:p>
      <w:pPr>
        <w:pStyle w:val="3"/>
        <w:spacing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本单位2021年无政府采购总支出。</w:t>
      </w:r>
    </w:p>
    <w:p>
      <w:pPr>
        <w:pStyle w:val="3"/>
        <w:spacing w:line="560" w:lineRule="exact"/>
        <w:ind w:left="0" w:leftChars="0"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（三）国有资产占用情况说明</w:t>
      </w:r>
    </w:p>
    <w:p>
      <w:pPr>
        <w:ind w:firstLine="960" w:firstLineChars="300"/>
        <w:rPr>
          <w:rFonts w:ascii="仿宋" w:hAnsi="仿宋" w:eastAsia="仿宋"/>
          <w:sz w:val="32"/>
          <w:szCs w:val="32"/>
        </w:rPr>
      </w:pPr>
      <w:r>
        <w:rPr>
          <w:rFonts w:hint="eastAsia" w:ascii="仿宋" w:hAnsi="仿宋" w:eastAsia="仿宋"/>
          <w:sz w:val="32"/>
          <w:szCs w:val="32"/>
        </w:rPr>
        <w:t>1、车辆情况：截止2021年12月31日，我单位实有公务车辆0辆。</w:t>
      </w:r>
    </w:p>
    <w:p>
      <w:pPr>
        <w:pStyle w:val="3"/>
        <w:spacing w:line="560" w:lineRule="exact"/>
        <w:ind w:left="0" w:leftChars="0" w:firstLine="960" w:firstLineChars="3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我单位2021年资产合计245.49万元，其中：流动资产0.45万元，占比0.18%;非流动资产245.04万元，占比99.82%。流动资产0.45万元元，其中:货币资金0.45万元，占比100%;非流动资产245.04万元，其中:固定资产净值244.83万元，占比99.92%;无形资产净值0.2万元，占比0.08%</w:t>
      </w:r>
    </w:p>
    <w:p>
      <w:pPr>
        <w:pStyle w:val="3"/>
        <w:spacing w:line="560" w:lineRule="exact"/>
        <w:ind w:left="0" w:leftChars="0"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（四）预算绩效情况说明</w:t>
      </w:r>
    </w:p>
    <w:p>
      <w:pPr>
        <w:pStyle w:val="3"/>
        <w:spacing w:line="560" w:lineRule="exact"/>
        <w:ind w:left="0" w:leftChars="0" w:firstLine="640" w:firstLineChars="200"/>
        <w:rPr>
          <w:rFonts w:ascii="楷体_GB2312" w:hAnsi="CESI楷体-GB2312" w:eastAsia="楷体_GB2312" w:cs="CESI楷体-GB2312"/>
          <w:sz w:val="32"/>
          <w:szCs w:val="32"/>
        </w:rPr>
      </w:pPr>
      <w:r>
        <w:rPr>
          <w:rFonts w:hint="eastAsia" w:ascii="楷体_GB2312" w:hAnsi="CESI楷体-GB2312" w:eastAsia="楷体_GB2312" w:cs="CESI楷体-GB2312"/>
          <w:sz w:val="32"/>
          <w:szCs w:val="32"/>
        </w:rPr>
        <w:t>（1）预算绩效管理工作开展情况。</w:t>
      </w:r>
    </w:p>
    <w:p>
      <w:pPr>
        <w:pStyle w:val="3"/>
        <w:spacing w:line="560" w:lineRule="exact"/>
        <w:ind w:left="0" w:leftChars="0" w:firstLine="640" w:firstLineChars="200"/>
        <w:rPr>
          <w:rFonts w:ascii="仿宋_GB2312" w:hAnsi="CESI仿宋-GB2312" w:eastAsia="仿宋_GB2312" w:cs="CESI仿宋-GB2312"/>
          <w:sz w:val="32"/>
          <w:szCs w:val="32"/>
        </w:rPr>
      </w:pPr>
      <w:r>
        <w:rPr>
          <w:rFonts w:hint="eastAsia" w:ascii="仿宋_GB2312" w:hAnsi="CESI仿宋-GB2312" w:eastAsia="仿宋_GB2312" w:cs="CESI仿宋-GB2312"/>
          <w:sz w:val="32"/>
          <w:szCs w:val="32"/>
        </w:rPr>
        <w:t>根据预算绩效管理要求,我单位预算是由收入预算和支出预算组成，我单位在年初根据年度工作计划和相应支出需求，结合上年度预算执行情况编制当年预算，按照收支平衡的原则，合理安排各项资金。我单位组织对2021年度市级政府购买服务安排的支出全面开展自评，涉及预算资金655.21万元，占经营支出的100%。</w:t>
      </w:r>
    </w:p>
    <w:p>
      <w:pPr>
        <w:pStyle w:val="3"/>
        <w:spacing w:line="560" w:lineRule="exact"/>
        <w:ind w:left="0" w:leftChars="0" w:firstLine="640" w:firstLineChars="200"/>
        <w:rPr>
          <w:rFonts w:ascii="楷体_GB2312" w:hAnsi="CESI楷体-GB2312" w:eastAsia="楷体_GB2312" w:cs="CESI楷体-GB2312"/>
          <w:bCs/>
          <w:sz w:val="32"/>
          <w:szCs w:val="32"/>
        </w:rPr>
      </w:pPr>
      <w:r>
        <w:rPr>
          <w:rFonts w:hint="eastAsia" w:ascii="楷体_GB2312" w:hAnsi="CESI楷体-GB2312" w:eastAsia="楷体_GB2312" w:cs="CESI楷体-GB2312"/>
          <w:sz w:val="32"/>
          <w:szCs w:val="32"/>
        </w:rPr>
        <w:t>（2）</w:t>
      </w:r>
      <w:r>
        <w:rPr>
          <w:rFonts w:hint="eastAsia" w:ascii="楷体_GB2312" w:hAnsi="CESI楷体-GB2312" w:eastAsia="楷体_GB2312" w:cs="CESI楷体-GB2312"/>
          <w:bCs/>
          <w:sz w:val="32"/>
          <w:szCs w:val="32"/>
        </w:rPr>
        <w:t>单位决算中项目绩效自评结果。</w:t>
      </w:r>
    </w:p>
    <w:p>
      <w:pPr>
        <w:pStyle w:val="3"/>
        <w:spacing w:line="560" w:lineRule="exact"/>
        <w:ind w:left="0" w:leftChars="0" w:firstLine="640" w:firstLineChars="200"/>
        <w:rPr>
          <w:rFonts w:ascii="仿宋_GB2312" w:hAnsi="CESI仿宋-GB2312" w:eastAsia="仿宋_GB2312" w:cs="CESI仿宋-GB2312"/>
          <w:sz w:val="32"/>
          <w:szCs w:val="32"/>
        </w:rPr>
      </w:pPr>
      <w:r>
        <w:rPr>
          <w:rFonts w:hint="eastAsia" w:ascii="仿宋_GB2312" w:hAnsi="CESI仿宋-GB2312" w:eastAsia="仿宋_GB2312" w:cs="CESI仿宋-GB2312"/>
          <w:sz w:val="32"/>
          <w:szCs w:val="32"/>
        </w:rPr>
        <w:t>我单位在开展项目绩效评价时，一是通过项目指标进行对比，评价项目是否达到设计目标与预期效果，二是通过社会调查，从经济效益、社会效益、环境效益、可持续影响、服务对象满意度等方面，评价项目建成后对社会的经济、文化和环境等方面所产生的影响，以及提高经济效益、改善社会环境和提高人民生活质量等的作用。在绩效目标编制方面，针对绩效目标设置指向不清、预算和目标匹配不足，数量目标和质量目标量化不细，效益目标编制不完整等方面加以了改善。加强预算绩效动态监控管理，及时跟踪项目进度，对项目实施中存在的具体问题采取纠偏措施。加强相关专业技术人员的业务培训，进一步提高预算绩效评价质量。目前单位绩效评价结果还停留在反映情况、找问题、提建议层面，评价结果和预算安排有机结合的机制尚未真正建立。</w:t>
      </w:r>
    </w:p>
    <w:p>
      <w:pPr>
        <w:spacing w:line="600" w:lineRule="exact"/>
        <w:jc w:val="center"/>
        <w:rPr>
          <w:rFonts w:ascii="黑体" w:hAnsi="黑体" w:eastAsia="黑体" w:cs="宋体"/>
          <w:kern w:val="0"/>
          <w:sz w:val="32"/>
          <w:szCs w:val="32"/>
        </w:rPr>
      </w:pPr>
      <w:r>
        <w:rPr>
          <w:rFonts w:hint="eastAsia" w:ascii="黑体" w:hAnsi="黑体" w:eastAsia="黑体" w:cs="宋体"/>
          <w:kern w:val="0"/>
          <w:sz w:val="32"/>
          <w:szCs w:val="32"/>
        </w:rPr>
        <w:t>第四部分   名词解释</w:t>
      </w:r>
    </w:p>
    <w:p>
      <w:pPr>
        <w:spacing w:line="600" w:lineRule="exact"/>
        <w:rPr>
          <w:rFonts w:ascii="黑体" w:hAnsi="黑体" w:eastAsia="黑体" w:cs="宋体"/>
          <w:kern w:val="0"/>
          <w:sz w:val="30"/>
          <w:szCs w:val="30"/>
        </w:rPr>
      </w:pPr>
    </w:p>
    <w:p>
      <w:pPr>
        <w:pStyle w:val="5"/>
        <w:widowControl/>
        <w:snapToGrid w:val="0"/>
        <w:spacing w:line="60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一、财政拨款收入：指单位从同级财政部门取得的财政预算资金。</w:t>
      </w:r>
    </w:p>
    <w:p>
      <w:pPr>
        <w:pStyle w:val="5"/>
        <w:widowControl/>
        <w:snapToGrid w:val="0"/>
        <w:spacing w:line="60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二、其他收入：指单位取得的除上述收入以外的各项收入。主要是按规定动用的售房收入、存款利息收入等。</w:t>
      </w:r>
    </w:p>
    <w:p>
      <w:pPr>
        <w:pStyle w:val="5"/>
        <w:widowControl/>
        <w:snapToGrid w:val="0"/>
        <w:spacing w:line="60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三、年初结转和结余：指单位以前年度尚未完成、结转到本年按有关规定继续使用的资金。</w:t>
      </w:r>
    </w:p>
    <w:p>
      <w:pPr>
        <w:pStyle w:val="5"/>
        <w:widowControl/>
        <w:snapToGrid w:val="0"/>
        <w:spacing w:line="600" w:lineRule="exact"/>
        <w:ind w:firstLine="641"/>
        <w:rPr>
          <w:rFonts w:ascii="仿宋_GB2312" w:hAnsi="仿宋_GB2312" w:eastAsia="仿宋_GB2312" w:cs="仿宋_GB2312"/>
          <w:sz w:val="32"/>
          <w:szCs w:val="32"/>
        </w:rPr>
      </w:pPr>
      <w:r>
        <w:rPr>
          <w:rFonts w:hint="eastAsia" w:ascii="仿宋_GB2312" w:hAnsi="仿宋_GB2312" w:eastAsia="仿宋_GB2312" w:cs="仿宋_GB2312"/>
          <w:sz w:val="32"/>
          <w:szCs w:val="32"/>
        </w:rPr>
        <w:t>四、基本支出：指为保障机构正常运转、完成日常工作任务而发生的人员支出和公用支出。</w:t>
      </w:r>
    </w:p>
    <w:p>
      <w:pPr>
        <w:pStyle w:val="5"/>
        <w:widowControl/>
        <w:snapToGrid w:val="0"/>
        <w:spacing w:line="600" w:lineRule="exact"/>
        <w:ind w:firstLine="646"/>
        <w:rPr>
          <w:rFonts w:ascii="仿宋_GB2312" w:hAnsi="仿宋_GB2312" w:eastAsia="仿宋_GB2312" w:cs="仿宋_GB2312"/>
          <w:sz w:val="32"/>
          <w:szCs w:val="32"/>
        </w:rPr>
      </w:pPr>
      <w:r>
        <w:rPr>
          <w:rFonts w:hint="eastAsia" w:ascii="仿宋_GB2312" w:hAnsi="仿宋_GB2312" w:eastAsia="仿宋_GB2312" w:cs="仿宋_GB2312"/>
          <w:sz w:val="32"/>
          <w:szCs w:val="32"/>
        </w:rPr>
        <w:t>五、项目支出：指在基本支出之外为完成特定行政任务和事业发展目标所发生的支出。</w:t>
      </w:r>
    </w:p>
    <w:p>
      <w:pPr>
        <w:pStyle w:val="5"/>
        <w:widowControl/>
        <w:snapToGrid w:val="0"/>
        <w:spacing w:line="60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六、“三公”经费：指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spacing w:line="600" w:lineRule="exact"/>
        <w:ind w:firstLine="540"/>
        <w:rPr>
          <w:rFonts w:ascii="仿宋_GB2312" w:hAnsi="仿宋_GB2312" w:eastAsia="仿宋_GB2312" w:cs="仿宋_GB2312"/>
          <w:sz w:val="32"/>
          <w:szCs w:val="32"/>
        </w:rPr>
      </w:pPr>
      <w:r>
        <w:rPr>
          <w:rFonts w:hint="eastAsia" w:ascii="仿宋_GB2312" w:hAnsi="仿宋_GB2312" w:eastAsia="仿宋_GB2312" w:cs="仿宋_GB2312"/>
          <w:sz w:val="32"/>
          <w:szCs w:val="32"/>
        </w:rPr>
        <w:t>七、机关运行经费：指行政单位和参照公务员法管理的事业单位使用一般公共预算安排的基本支出中的日常公用经费。</w:t>
      </w:r>
    </w:p>
    <w:p>
      <w:pPr>
        <w:spacing w:line="600" w:lineRule="exact"/>
        <w:ind w:firstLine="540"/>
      </w:pPr>
      <w:r>
        <w:rPr>
          <w:rFonts w:hint="eastAsia" w:ascii="仿宋_GB2312" w:hAnsi="仿宋_GB2312" w:eastAsia="仿宋_GB2312" w:cs="仿宋_GB2312"/>
          <w:sz w:val="32"/>
          <w:szCs w:val="32"/>
        </w:rPr>
        <w:t>八、政府购买服务：根据我国现行政策规定，政府购买服务，是指政府按照一定的方式和程序，把属于政府职责范围且适合通过市场化方式提供的服务事项，交由符合条件的社会力量和事业单位承担，并根据服务数量和质量等向其支付费用的行为。政府购买服务是一种契约化的公共服务提供方式，具有权责清晰、结果导向、灵活高效等</w:t>
      </w:r>
      <w:r>
        <w:rPr>
          <w:rFonts w:hint="eastAsia" w:ascii="仿宋_GB2312" w:hAnsi="仿宋_GB2312" w:eastAsia="仿宋_GB2312" w:cs="仿宋_GB2312"/>
          <w:sz w:val="32"/>
          <w:szCs w:val="32"/>
          <w:lang w:val="en"/>
        </w:rPr>
        <w:t>。</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ESI仿宋-GB2312">
    <w:altName w:val="仿宋"/>
    <w:panose1 w:val="00000000000000000000"/>
    <w:charset w:val="86"/>
    <w:family w:val="auto"/>
    <w:pitch w:val="default"/>
    <w:sig w:usb0="00000000" w:usb1="00000000" w:usb2="00000010" w:usb3="00000000" w:csb0="0004000F"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CESI楷体-GB2312">
    <w:altName w:val="宋体"/>
    <w:panose1 w:val="00000000000000000000"/>
    <w:charset w:val="86"/>
    <w:family w:val="auto"/>
    <w:pitch w:val="default"/>
    <w:sig w:usb0="00000000" w:usb1="00000000" w:usb2="00000012"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20</w:t>
    </w:r>
    <w:r>
      <w:rPr>
        <w:lang w:val="zh-CN"/>
      </w:rPr>
      <w:fldChar w:fldCharType="end"/>
    </w:r>
  </w:p>
  <w:p>
    <w:pPr>
      <w:pStyle w:val="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ZjNTBhM2FlZDFjNDU4MTNlZjI3ZWZiYzEyYzVhOWQifQ=="/>
  </w:docVars>
  <w:rsids>
    <w:rsidRoot w:val="00606B74"/>
    <w:rsid w:val="000300C3"/>
    <w:rsid w:val="00076F74"/>
    <w:rsid w:val="00090B34"/>
    <w:rsid w:val="00094C1A"/>
    <w:rsid w:val="000F6022"/>
    <w:rsid w:val="000F7B3E"/>
    <w:rsid w:val="00100BC9"/>
    <w:rsid w:val="00115F6C"/>
    <w:rsid w:val="00121A1B"/>
    <w:rsid w:val="002B1F18"/>
    <w:rsid w:val="002F04FF"/>
    <w:rsid w:val="003371A8"/>
    <w:rsid w:val="003901BC"/>
    <w:rsid w:val="00401393"/>
    <w:rsid w:val="00414E25"/>
    <w:rsid w:val="00486E85"/>
    <w:rsid w:val="00594155"/>
    <w:rsid w:val="00600617"/>
    <w:rsid w:val="00606B74"/>
    <w:rsid w:val="0069756A"/>
    <w:rsid w:val="006C7E3B"/>
    <w:rsid w:val="006D6418"/>
    <w:rsid w:val="007B563D"/>
    <w:rsid w:val="007B6354"/>
    <w:rsid w:val="007F79F2"/>
    <w:rsid w:val="00830FA8"/>
    <w:rsid w:val="00865957"/>
    <w:rsid w:val="00880E6A"/>
    <w:rsid w:val="00A176DB"/>
    <w:rsid w:val="00B328A1"/>
    <w:rsid w:val="00CB6B90"/>
    <w:rsid w:val="00D204C0"/>
    <w:rsid w:val="00D42E21"/>
    <w:rsid w:val="00D77D2A"/>
    <w:rsid w:val="00E61030"/>
    <w:rsid w:val="00FE737A"/>
    <w:rsid w:val="07EB1256"/>
    <w:rsid w:val="0CF81BA4"/>
    <w:rsid w:val="0D0D7516"/>
    <w:rsid w:val="0DBF44F1"/>
    <w:rsid w:val="0EEBB6E5"/>
    <w:rsid w:val="0F37C4AA"/>
    <w:rsid w:val="0FFF2565"/>
    <w:rsid w:val="11F67FAE"/>
    <w:rsid w:val="157EE9EA"/>
    <w:rsid w:val="15DFF94E"/>
    <w:rsid w:val="17BD7195"/>
    <w:rsid w:val="19DE10B7"/>
    <w:rsid w:val="1B5A96FB"/>
    <w:rsid w:val="1CBDCAD1"/>
    <w:rsid w:val="1CF7E1A0"/>
    <w:rsid w:val="1DAF7A06"/>
    <w:rsid w:val="1DB2D244"/>
    <w:rsid w:val="1E7E77F8"/>
    <w:rsid w:val="1EFC57A1"/>
    <w:rsid w:val="1EFF7AC7"/>
    <w:rsid w:val="1FCF8ECA"/>
    <w:rsid w:val="1FD2AD0C"/>
    <w:rsid w:val="1FE6EA94"/>
    <w:rsid w:val="1FE74B0A"/>
    <w:rsid w:val="20B156A5"/>
    <w:rsid w:val="2476A2BC"/>
    <w:rsid w:val="27A5E395"/>
    <w:rsid w:val="27F5ACF2"/>
    <w:rsid w:val="292EC972"/>
    <w:rsid w:val="295E1E8F"/>
    <w:rsid w:val="29FD0E73"/>
    <w:rsid w:val="2A760516"/>
    <w:rsid w:val="2AAC1723"/>
    <w:rsid w:val="2BDFA7E6"/>
    <w:rsid w:val="2BF39559"/>
    <w:rsid w:val="2BFE5C80"/>
    <w:rsid w:val="2C4D95E5"/>
    <w:rsid w:val="2D26C1AE"/>
    <w:rsid w:val="2D47361B"/>
    <w:rsid w:val="2FBFB254"/>
    <w:rsid w:val="2FBFB293"/>
    <w:rsid w:val="2FE5BAD4"/>
    <w:rsid w:val="2FEF5FDC"/>
    <w:rsid w:val="2FFE055D"/>
    <w:rsid w:val="2FFF75D9"/>
    <w:rsid w:val="32474BA8"/>
    <w:rsid w:val="327D367C"/>
    <w:rsid w:val="32B75804"/>
    <w:rsid w:val="33EEEDDC"/>
    <w:rsid w:val="35FAA4F9"/>
    <w:rsid w:val="35FEC27D"/>
    <w:rsid w:val="36BD8E48"/>
    <w:rsid w:val="36EBC633"/>
    <w:rsid w:val="37F547F9"/>
    <w:rsid w:val="37FD4982"/>
    <w:rsid w:val="3953D86E"/>
    <w:rsid w:val="39AC194D"/>
    <w:rsid w:val="39AE72C0"/>
    <w:rsid w:val="39DFB6C7"/>
    <w:rsid w:val="3B5F8FB5"/>
    <w:rsid w:val="3BB3A41D"/>
    <w:rsid w:val="3BBE5298"/>
    <w:rsid w:val="3BD638A3"/>
    <w:rsid w:val="3BDF36E2"/>
    <w:rsid w:val="3BF9CEF7"/>
    <w:rsid w:val="3BFB5EA6"/>
    <w:rsid w:val="3BFC6685"/>
    <w:rsid w:val="3BFE5559"/>
    <w:rsid w:val="3BFF1BAE"/>
    <w:rsid w:val="3CBD5BCA"/>
    <w:rsid w:val="3CD54122"/>
    <w:rsid w:val="3CFD0574"/>
    <w:rsid w:val="3D4F84E3"/>
    <w:rsid w:val="3D7F6435"/>
    <w:rsid w:val="3DBFD012"/>
    <w:rsid w:val="3DDFEEA3"/>
    <w:rsid w:val="3DEF4F74"/>
    <w:rsid w:val="3DF78F7D"/>
    <w:rsid w:val="3DFF1C99"/>
    <w:rsid w:val="3DFF56D0"/>
    <w:rsid w:val="3DFF5B53"/>
    <w:rsid w:val="3DFFED1B"/>
    <w:rsid w:val="3E7989F1"/>
    <w:rsid w:val="3EAB0813"/>
    <w:rsid w:val="3EBF4A7B"/>
    <w:rsid w:val="3EE73F00"/>
    <w:rsid w:val="3EEFBC19"/>
    <w:rsid w:val="3F3FF411"/>
    <w:rsid w:val="3F58E24A"/>
    <w:rsid w:val="3F5E74E5"/>
    <w:rsid w:val="3F770B0A"/>
    <w:rsid w:val="3F790A37"/>
    <w:rsid w:val="3F7FC490"/>
    <w:rsid w:val="3F977E21"/>
    <w:rsid w:val="3FBF67AC"/>
    <w:rsid w:val="3FCD1BDC"/>
    <w:rsid w:val="3FCF7089"/>
    <w:rsid w:val="3FD7A2E0"/>
    <w:rsid w:val="3FDF0644"/>
    <w:rsid w:val="3FE41CCD"/>
    <w:rsid w:val="3FEB5F58"/>
    <w:rsid w:val="3FEC1748"/>
    <w:rsid w:val="3FF70B73"/>
    <w:rsid w:val="3FF88EFD"/>
    <w:rsid w:val="3FFBCE0E"/>
    <w:rsid w:val="3FFE3EC2"/>
    <w:rsid w:val="3FFF718E"/>
    <w:rsid w:val="3FFFAFA9"/>
    <w:rsid w:val="41FB17A4"/>
    <w:rsid w:val="44EBF632"/>
    <w:rsid w:val="473F2646"/>
    <w:rsid w:val="47FD3523"/>
    <w:rsid w:val="499B8A14"/>
    <w:rsid w:val="49EF89BE"/>
    <w:rsid w:val="4A695F90"/>
    <w:rsid w:val="4BBFA684"/>
    <w:rsid w:val="4BBFEC4E"/>
    <w:rsid w:val="4BF8E5AB"/>
    <w:rsid w:val="4BFFE3D7"/>
    <w:rsid w:val="4DEA7C3B"/>
    <w:rsid w:val="4DEB493F"/>
    <w:rsid w:val="4DFEE9D3"/>
    <w:rsid w:val="4E3F6598"/>
    <w:rsid w:val="4EE3CE2B"/>
    <w:rsid w:val="4F3FE3F1"/>
    <w:rsid w:val="4F5D5FD2"/>
    <w:rsid w:val="4FDD96EF"/>
    <w:rsid w:val="4FEE7195"/>
    <w:rsid w:val="4FF54443"/>
    <w:rsid w:val="4FF7328D"/>
    <w:rsid w:val="4FF7F883"/>
    <w:rsid w:val="50FE7B83"/>
    <w:rsid w:val="531EADA2"/>
    <w:rsid w:val="53F33769"/>
    <w:rsid w:val="53FF723B"/>
    <w:rsid w:val="53FFBC08"/>
    <w:rsid w:val="5563D088"/>
    <w:rsid w:val="55EF1792"/>
    <w:rsid w:val="55F1F5B2"/>
    <w:rsid w:val="565A68AE"/>
    <w:rsid w:val="56D6F12D"/>
    <w:rsid w:val="56FD4FEE"/>
    <w:rsid w:val="56FF3046"/>
    <w:rsid w:val="56FF3B29"/>
    <w:rsid w:val="5753E3A6"/>
    <w:rsid w:val="576FF246"/>
    <w:rsid w:val="577E1F18"/>
    <w:rsid w:val="578BC3C0"/>
    <w:rsid w:val="57B560CD"/>
    <w:rsid w:val="57B9D541"/>
    <w:rsid w:val="57D6A8E4"/>
    <w:rsid w:val="57F4CE95"/>
    <w:rsid w:val="57FF08C7"/>
    <w:rsid w:val="58F702E5"/>
    <w:rsid w:val="59BB646E"/>
    <w:rsid w:val="5A35A3A5"/>
    <w:rsid w:val="5AD60974"/>
    <w:rsid w:val="5B2FCFD1"/>
    <w:rsid w:val="5B3F1C13"/>
    <w:rsid w:val="5B6EFDB1"/>
    <w:rsid w:val="5B7EB85F"/>
    <w:rsid w:val="5BABBEF7"/>
    <w:rsid w:val="5BDFB4A8"/>
    <w:rsid w:val="5BE6C85C"/>
    <w:rsid w:val="5BF31AC0"/>
    <w:rsid w:val="5BF5703A"/>
    <w:rsid w:val="5BFFDCE7"/>
    <w:rsid w:val="5D6A583B"/>
    <w:rsid w:val="5D6C41B0"/>
    <w:rsid w:val="5DB5830B"/>
    <w:rsid w:val="5DBD255B"/>
    <w:rsid w:val="5DFAC01D"/>
    <w:rsid w:val="5E71A48F"/>
    <w:rsid w:val="5E7F9307"/>
    <w:rsid w:val="5E9BB985"/>
    <w:rsid w:val="5EAD5CB3"/>
    <w:rsid w:val="5EEA04A1"/>
    <w:rsid w:val="5EEDEE32"/>
    <w:rsid w:val="5EF5C47B"/>
    <w:rsid w:val="5EF95181"/>
    <w:rsid w:val="5EFCF4F0"/>
    <w:rsid w:val="5F398B73"/>
    <w:rsid w:val="5F473CB3"/>
    <w:rsid w:val="5F5BB840"/>
    <w:rsid w:val="5F6E6D48"/>
    <w:rsid w:val="5F77C250"/>
    <w:rsid w:val="5F793227"/>
    <w:rsid w:val="5F7E4B8D"/>
    <w:rsid w:val="5FAE5211"/>
    <w:rsid w:val="5FB27D6C"/>
    <w:rsid w:val="5FBE42D5"/>
    <w:rsid w:val="5FBF505F"/>
    <w:rsid w:val="5FDFF449"/>
    <w:rsid w:val="5FE14D43"/>
    <w:rsid w:val="5FEB7780"/>
    <w:rsid w:val="5FEF41C2"/>
    <w:rsid w:val="5FF67C68"/>
    <w:rsid w:val="5FF67F8D"/>
    <w:rsid w:val="5FFD3043"/>
    <w:rsid w:val="5FFD3484"/>
    <w:rsid w:val="5FFE6C7F"/>
    <w:rsid w:val="5FFF667E"/>
    <w:rsid w:val="5FFFC230"/>
    <w:rsid w:val="605F1C0F"/>
    <w:rsid w:val="60C39EB0"/>
    <w:rsid w:val="639AC1BA"/>
    <w:rsid w:val="639BC3F1"/>
    <w:rsid w:val="63EFE488"/>
    <w:rsid w:val="63FF58CD"/>
    <w:rsid w:val="63FFB458"/>
    <w:rsid w:val="65F78577"/>
    <w:rsid w:val="667B8693"/>
    <w:rsid w:val="66F78E1C"/>
    <w:rsid w:val="66F7FA2D"/>
    <w:rsid w:val="6706E58A"/>
    <w:rsid w:val="677D4182"/>
    <w:rsid w:val="677F861E"/>
    <w:rsid w:val="678F4AF3"/>
    <w:rsid w:val="67BBE057"/>
    <w:rsid w:val="67EA1995"/>
    <w:rsid w:val="67FD8211"/>
    <w:rsid w:val="687DB826"/>
    <w:rsid w:val="697B0DAD"/>
    <w:rsid w:val="69C40E49"/>
    <w:rsid w:val="69F2FD6D"/>
    <w:rsid w:val="69FD31FF"/>
    <w:rsid w:val="6AB7B3AC"/>
    <w:rsid w:val="6B6FA603"/>
    <w:rsid w:val="6B790342"/>
    <w:rsid w:val="6BBA54A9"/>
    <w:rsid w:val="6BBED54F"/>
    <w:rsid w:val="6BBF3CE9"/>
    <w:rsid w:val="6BCBA005"/>
    <w:rsid w:val="6BD62A65"/>
    <w:rsid w:val="6BEDCC50"/>
    <w:rsid w:val="6BF787FF"/>
    <w:rsid w:val="6BF96B6A"/>
    <w:rsid w:val="6BFC665E"/>
    <w:rsid w:val="6C7D69E4"/>
    <w:rsid w:val="6C9EF326"/>
    <w:rsid w:val="6CF6B5E3"/>
    <w:rsid w:val="6CFA5009"/>
    <w:rsid w:val="6CFF5A8B"/>
    <w:rsid w:val="6D19325F"/>
    <w:rsid w:val="6D5AB941"/>
    <w:rsid w:val="6D7F249C"/>
    <w:rsid w:val="6D9F3910"/>
    <w:rsid w:val="6DAFBAB9"/>
    <w:rsid w:val="6DBD5391"/>
    <w:rsid w:val="6DDF296D"/>
    <w:rsid w:val="6DF7D2BB"/>
    <w:rsid w:val="6DFB7CBD"/>
    <w:rsid w:val="6DFF0E44"/>
    <w:rsid w:val="6E7BEBA3"/>
    <w:rsid w:val="6EB7C10E"/>
    <w:rsid w:val="6EDAE015"/>
    <w:rsid w:val="6EE81300"/>
    <w:rsid w:val="6EEAAAC0"/>
    <w:rsid w:val="6EED089E"/>
    <w:rsid w:val="6EEFEB3A"/>
    <w:rsid w:val="6EF4916B"/>
    <w:rsid w:val="6EF7959E"/>
    <w:rsid w:val="6EFF67C2"/>
    <w:rsid w:val="6F01D64F"/>
    <w:rsid w:val="6F1B0D6B"/>
    <w:rsid w:val="6F2FB9D5"/>
    <w:rsid w:val="6F47B950"/>
    <w:rsid w:val="6F57B45A"/>
    <w:rsid w:val="6F5E5B0B"/>
    <w:rsid w:val="6F87DE32"/>
    <w:rsid w:val="6FAFE7AB"/>
    <w:rsid w:val="6FB7E6E9"/>
    <w:rsid w:val="6FBDFC00"/>
    <w:rsid w:val="6FBEB2CD"/>
    <w:rsid w:val="6FBFC4BE"/>
    <w:rsid w:val="6FBFDCED"/>
    <w:rsid w:val="6FCD3FAC"/>
    <w:rsid w:val="6FD7675E"/>
    <w:rsid w:val="6FDF067E"/>
    <w:rsid w:val="6FF3E5C5"/>
    <w:rsid w:val="6FF72F78"/>
    <w:rsid w:val="6FF925F1"/>
    <w:rsid w:val="6FF9E82E"/>
    <w:rsid w:val="6FFF69E7"/>
    <w:rsid w:val="6FFF705C"/>
    <w:rsid w:val="6FFFD8A6"/>
    <w:rsid w:val="71F9F399"/>
    <w:rsid w:val="71FF738A"/>
    <w:rsid w:val="72EFA7B0"/>
    <w:rsid w:val="737D1A90"/>
    <w:rsid w:val="737F27D6"/>
    <w:rsid w:val="73BA4E74"/>
    <w:rsid w:val="73F7FF9E"/>
    <w:rsid w:val="73FB740E"/>
    <w:rsid w:val="73FF07D6"/>
    <w:rsid w:val="73FF6333"/>
    <w:rsid w:val="7479F333"/>
    <w:rsid w:val="756FFA24"/>
    <w:rsid w:val="75BB7429"/>
    <w:rsid w:val="75BEB196"/>
    <w:rsid w:val="75E7E217"/>
    <w:rsid w:val="75F99762"/>
    <w:rsid w:val="75FE5ADD"/>
    <w:rsid w:val="75FF579F"/>
    <w:rsid w:val="7617D5C9"/>
    <w:rsid w:val="7636D8A7"/>
    <w:rsid w:val="763DD781"/>
    <w:rsid w:val="767EF41A"/>
    <w:rsid w:val="767F7B0C"/>
    <w:rsid w:val="767FBC9C"/>
    <w:rsid w:val="7687C130"/>
    <w:rsid w:val="76DBE324"/>
    <w:rsid w:val="76DF8A7B"/>
    <w:rsid w:val="76E8BD32"/>
    <w:rsid w:val="76F1044D"/>
    <w:rsid w:val="772570DF"/>
    <w:rsid w:val="772B6F90"/>
    <w:rsid w:val="773B6786"/>
    <w:rsid w:val="773F4F29"/>
    <w:rsid w:val="775F8DBB"/>
    <w:rsid w:val="775FF773"/>
    <w:rsid w:val="77678051"/>
    <w:rsid w:val="776913D5"/>
    <w:rsid w:val="7777908D"/>
    <w:rsid w:val="777C61BA"/>
    <w:rsid w:val="777D3D3A"/>
    <w:rsid w:val="777EA96B"/>
    <w:rsid w:val="77BC9585"/>
    <w:rsid w:val="77BE6DEB"/>
    <w:rsid w:val="77BFB8F3"/>
    <w:rsid w:val="77CB4FA7"/>
    <w:rsid w:val="77DC7721"/>
    <w:rsid w:val="77DE88CD"/>
    <w:rsid w:val="77E7AC73"/>
    <w:rsid w:val="77F150F9"/>
    <w:rsid w:val="77F71920"/>
    <w:rsid w:val="77F99BB2"/>
    <w:rsid w:val="77FB42BB"/>
    <w:rsid w:val="77FBE1F1"/>
    <w:rsid w:val="77FEBC68"/>
    <w:rsid w:val="77FF1736"/>
    <w:rsid w:val="77FF882C"/>
    <w:rsid w:val="78F19CBC"/>
    <w:rsid w:val="793D04E0"/>
    <w:rsid w:val="797B4E3F"/>
    <w:rsid w:val="799D39BF"/>
    <w:rsid w:val="799D5327"/>
    <w:rsid w:val="79BEB290"/>
    <w:rsid w:val="79F84224"/>
    <w:rsid w:val="79FA88E6"/>
    <w:rsid w:val="7A1E49B2"/>
    <w:rsid w:val="7A7BEAD1"/>
    <w:rsid w:val="7AD5675C"/>
    <w:rsid w:val="7AD759AA"/>
    <w:rsid w:val="7AEDA6F2"/>
    <w:rsid w:val="7AEEE38A"/>
    <w:rsid w:val="7AF93670"/>
    <w:rsid w:val="7AFE4A12"/>
    <w:rsid w:val="7AFFB882"/>
    <w:rsid w:val="7B5F9158"/>
    <w:rsid w:val="7B6F0621"/>
    <w:rsid w:val="7B7386EC"/>
    <w:rsid w:val="7B76F47E"/>
    <w:rsid w:val="7B9F80C8"/>
    <w:rsid w:val="7BB3B791"/>
    <w:rsid w:val="7BBE4F0D"/>
    <w:rsid w:val="7BBFFB3B"/>
    <w:rsid w:val="7BD6C236"/>
    <w:rsid w:val="7BDF5A11"/>
    <w:rsid w:val="7BF525AE"/>
    <w:rsid w:val="7BF61DFA"/>
    <w:rsid w:val="7BFD67A3"/>
    <w:rsid w:val="7BFF26A6"/>
    <w:rsid w:val="7BFF5A19"/>
    <w:rsid w:val="7BFF8532"/>
    <w:rsid w:val="7BFFC79D"/>
    <w:rsid w:val="7BFFE1C7"/>
    <w:rsid w:val="7C170EAC"/>
    <w:rsid w:val="7C738BDA"/>
    <w:rsid w:val="7C9E390B"/>
    <w:rsid w:val="7CFC377E"/>
    <w:rsid w:val="7CFE7FF2"/>
    <w:rsid w:val="7D277630"/>
    <w:rsid w:val="7D5F6637"/>
    <w:rsid w:val="7D5FC8C2"/>
    <w:rsid w:val="7D66537B"/>
    <w:rsid w:val="7D6F9BDB"/>
    <w:rsid w:val="7D7B025A"/>
    <w:rsid w:val="7D7F6C2F"/>
    <w:rsid w:val="7DBE78FA"/>
    <w:rsid w:val="7DBF346B"/>
    <w:rsid w:val="7DC75D34"/>
    <w:rsid w:val="7DDF84A6"/>
    <w:rsid w:val="7DE7EE2A"/>
    <w:rsid w:val="7DEBB2AA"/>
    <w:rsid w:val="7DEF640D"/>
    <w:rsid w:val="7DF54CF4"/>
    <w:rsid w:val="7DFD836A"/>
    <w:rsid w:val="7DFEEA9F"/>
    <w:rsid w:val="7DFFA0FA"/>
    <w:rsid w:val="7DFFAD7B"/>
    <w:rsid w:val="7DFFECF2"/>
    <w:rsid w:val="7E2CFA5E"/>
    <w:rsid w:val="7E57CEB5"/>
    <w:rsid w:val="7E77FA68"/>
    <w:rsid w:val="7E7B073E"/>
    <w:rsid w:val="7E7F6D50"/>
    <w:rsid w:val="7EDF04E7"/>
    <w:rsid w:val="7EDFEA66"/>
    <w:rsid w:val="7EE9C720"/>
    <w:rsid w:val="7EEF9B63"/>
    <w:rsid w:val="7EFB8D37"/>
    <w:rsid w:val="7EFF4468"/>
    <w:rsid w:val="7EFF9BD6"/>
    <w:rsid w:val="7EFFC465"/>
    <w:rsid w:val="7F1FFA29"/>
    <w:rsid w:val="7F25E0CE"/>
    <w:rsid w:val="7F2F0641"/>
    <w:rsid w:val="7F3CFF21"/>
    <w:rsid w:val="7F3EB495"/>
    <w:rsid w:val="7F3F15C1"/>
    <w:rsid w:val="7F4F7FF7"/>
    <w:rsid w:val="7F4FDE28"/>
    <w:rsid w:val="7F55E4E2"/>
    <w:rsid w:val="7F5F5D97"/>
    <w:rsid w:val="7F79E61A"/>
    <w:rsid w:val="7F7A78E7"/>
    <w:rsid w:val="7F7B87B2"/>
    <w:rsid w:val="7F7BDE32"/>
    <w:rsid w:val="7F7E01EE"/>
    <w:rsid w:val="7F7FCEA6"/>
    <w:rsid w:val="7F939903"/>
    <w:rsid w:val="7F9D8C48"/>
    <w:rsid w:val="7FA52724"/>
    <w:rsid w:val="7FA5EAF6"/>
    <w:rsid w:val="7FA7A3C0"/>
    <w:rsid w:val="7FB16E15"/>
    <w:rsid w:val="7FB51B87"/>
    <w:rsid w:val="7FB72EBA"/>
    <w:rsid w:val="7FBA3288"/>
    <w:rsid w:val="7FBB0337"/>
    <w:rsid w:val="7FBB35D5"/>
    <w:rsid w:val="7FBB3A33"/>
    <w:rsid w:val="7FBD389B"/>
    <w:rsid w:val="7FBD617F"/>
    <w:rsid w:val="7FBF176A"/>
    <w:rsid w:val="7FCEEF6F"/>
    <w:rsid w:val="7FD50DCB"/>
    <w:rsid w:val="7FDC0E0D"/>
    <w:rsid w:val="7FDF22D0"/>
    <w:rsid w:val="7FDF5797"/>
    <w:rsid w:val="7FDF7307"/>
    <w:rsid w:val="7FDFAB8B"/>
    <w:rsid w:val="7FE34B53"/>
    <w:rsid w:val="7FE7C0A4"/>
    <w:rsid w:val="7FE7CA25"/>
    <w:rsid w:val="7FE7D09A"/>
    <w:rsid w:val="7FE7F027"/>
    <w:rsid w:val="7FED51C3"/>
    <w:rsid w:val="7FED5A69"/>
    <w:rsid w:val="7FEFCABE"/>
    <w:rsid w:val="7FF176D6"/>
    <w:rsid w:val="7FF24093"/>
    <w:rsid w:val="7FF6BDB0"/>
    <w:rsid w:val="7FF71575"/>
    <w:rsid w:val="7FF87589"/>
    <w:rsid w:val="7FF97827"/>
    <w:rsid w:val="7FF9A2E0"/>
    <w:rsid w:val="7FFB16A0"/>
    <w:rsid w:val="7FFB677F"/>
    <w:rsid w:val="7FFD3038"/>
    <w:rsid w:val="7FFD3C81"/>
    <w:rsid w:val="7FFE4095"/>
    <w:rsid w:val="7FFF4247"/>
    <w:rsid w:val="7FFF4646"/>
    <w:rsid w:val="7FFF464A"/>
    <w:rsid w:val="7FFFDBD9"/>
    <w:rsid w:val="7FFFE08C"/>
    <w:rsid w:val="7FFFF83A"/>
    <w:rsid w:val="80D60A5E"/>
    <w:rsid w:val="86EAE231"/>
    <w:rsid w:val="86F569D6"/>
    <w:rsid w:val="879EA398"/>
    <w:rsid w:val="87DDFB7A"/>
    <w:rsid w:val="87FB968E"/>
    <w:rsid w:val="87FE7043"/>
    <w:rsid w:val="890D6FD5"/>
    <w:rsid w:val="8A5EAD7F"/>
    <w:rsid w:val="8EEBC993"/>
    <w:rsid w:val="8F7F34E5"/>
    <w:rsid w:val="8FBF519F"/>
    <w:rsid w:val="8FE7B8BF"/>
    <w:rsid w:val="8FFDCFE1"/>
    <w:rsid w:val="8FFEF16E"/>
    <w:rsid w:val="91BFBC8B"/>
    <w:rsid w:val="944FF4E1"/>
    <w:rsid w:val="97F7FF65"/>
    <w:rsid w:val="97FF331C"/>
    <w:rsid w:val="9A3A4CB8"/>
    <w:rsid w:val="9ADFD34E"/>
    <w:rsid w:val="9BF84CF8"/>
    <w:rsid w:val="9BFFC837"/>
    <w:rsid w:val="9C7FAEFC"/>
    <w:rsid w:val="9E3F87C6"/>
    <w:rsid w:val="9EEF2317"/>
    <w:rsid w:val="9EFC52DF"/>
    <w:rsid w:val="9F5D8610"/>
    <w:rsid w:val="9F98D121"/>
    <w:rsid w:val="9FB9D284"/>
    <w:rsid w:val="9FBFF769"/>
    <w:rsid w:val="9FE71BB1"/>
    <w:rsid w:val="9FEF548B"/>
    <w:rsid w:val="9FF79E97"/>
    <w:rsid w:val="9FFFB690"/>
    <w:rsid w:val="A337C610"/>
    <w:rsid w:val="A5FB2C89"/>
    <w:rsid w:val="A677E647"/>
    <w:rsid w:val="A6B50E3F"/>
    <w:rsid w:val="A6F566D9"/>
    <w:rsid w:val="A74FD72A"/>
    <w:rsid w:val="A75F5A7A"/>
    <w:rsid w:val="A7FD640E"/>
    <w:rsid w:val="AC77C6B6"/>
    <w:rsid w:val="ACF09CE9"/>
    <w:rsid w:val="ACFDD5CA"/>
    <w:rsid w:val="ADB7EE56"/>
    <w:rsid w:val="AE764905"/>
    <w:rsid w:val="AE7B8119"/>
    <w:rsid w:val="AF6BDF9E"/>
    <w:rsid w:val="AF71EB6C"/>
    <w:rsid w:val="AFB3CCBB"/>
    <w:rsid w:val="AFBF0BC3"/>
    <w:rsid w:val="AFBF35B4"/>
    <w:rsid w:val="AFE863D1"/>
    <w:rsid w:val="AFF5AA32"/>
    <w:rsid w:val="AFF7A3F6"/>
    <w:rsid w:val="AFF86DC8"/>
    <w:rsid w:val="AFFE66A1"/>
    <w:rsid w:val="AFFF2063"/>
    <w:rsid w:val="AFFF32BC"/>
    <w:rsid w:val="B16EC3FF"/>
    <w:rsid w:val="B1AD4791"/>
    <w:rsid w:val="B1FFF023"/>
    <w:rsid w:val="B3D7B56F"/>
    <w:rsid w:val="B3FC2F8C"/>
    <w:rsid w:val="B45D1111"/>
    <w:rsid w:val="B4BF80EA"/>
    <w:rsid w:val="B577636B"/>
    <w:rsid w:val="B57E0F05"/>
    <w:rsid w:val="B57FF94F"/>
    <w:rsid w:val="B59E3FE6"/>
    <w:rsid w:val="B5D6AA50"/>
    <w:rsid w:val="B6A96825"/>
    <w:rsid w:val="B6DF1AB6"/>
    <w:rsid w:val="B6ED3815"/>
    <w:rsid w:val="B746339A"/>
    <w:rsid w:val="B7694A5F"/>
    <w:rsid w:val="B7AE678C"/>
    <w:rsid w:val="B7D285BA"/>
    <w:rsid w:val="B7E323BB"/>
    <w:rsid w:val="B91FD318"/>
    <w:rsid w:val="B9BB183D"/>
    <w:rsid w:val="B9FFDB77"/>
    <w:rsid w:val="BA389792"/>
    <w:rsid w:val="BA3F216C"/>
    <w:rsid w:val="BA3FF0F2"/>
    <w:rsid w:val="BA4E0986"/>
    <w:rsid w:val="BAEB621E"/>
    <w:rsid w:val="BAFB0519"/>
    <w:rsid w:val="BAFD04D6"/>
    <w:rsid w:val="BBD75A20"/>
    <w:rsid w:val="BBE74044"/>
    <w:rsid w:val="BBF6271F"/>
    <w:rsid w:val="BBFF2925"/>
    <w:rsid w:val="BBFFBDF2"/>
    <w:rsid w:val="BBFFEBDA"/>
    <w:rsid w:val="BCF54C3D"/>
    <w:rsid w:val="BCF5F7F5"/>
    <w:rsid w:val="BD3DBB7E"/>
    <w:rsid w:val="BD4F78A3"/>
    <w:rsid w:val="BD577C07"/>
    <w:rsid w:val="BD63EEDE"/>
    <w:rsid w:val="BDAA949A"/>
    <w:rsid w:val="BDDF327D"/>
    <w:rsid w:val="BDDFAAC4"/>
    <w:rsid w:val="BDE72D8F"/>
    <w:rsid w:val="BDF5AD91"/>
    <w:rsid w:val="BDFF5392"/>
    <w:rsid w:val="BDFF9CAD"/>
    <w:rsid w:val="BE6E2B7D"/>
    <w:rsid w:val="BE77CE7B"/>
    <w:rsid w:val="BE9F225F"/>
    <w:rsid w:val="BEB20C5A"/>
    <w:rsid w:val="BEC347B2"/>
    <w:rsid w:val="BEF3F192"/>
    <w:rsid w:val="BF372760"/>
    <w:rsid w:val="BF567733"/>
    <w:rsid w:val="BF579258"/>
    <w:rsid w:val="BF5D404D"/>
    <w:rsid w:val="BF5D5781"/>
    <w:rsid w:val="BF5F77EF"/>
    <w:rsid w:val="BF7A806C"/>
    <w:rsid w:val="BFBEEB6C"/>
    <w:rsid w:val="BFCF73A3"/>
    <w:rsid w:val="BFDE5130"/>
    <w:rsid w:val="BFEA776F"/>
    <w:rsid w:val="BFEADA19"/>
    <w:rsid w:val="BFEB16DC"/>
    <w:rsid w:val="BFEBCDD4"/>
    <w:rsid w:val="BFED462A"/>
    <w:rsid w:val="BFEE05A9"/>
    <w:rsid w:val="BFEF7AAF"/>
    <w:rsid w:val="BFF565AC"/>
    <w:rsid w:val="BFF7663C"/>
    <w:rsid w:val="BFF93152"/>
    <w:rsid w:val="BFFD9463"/>
    <w:rsid w:val="BFFEB829"/>
    <w:rsid w:val="BFFF077C"/>
    <w:rsid w:val="BFFF2084"/>
    <w:rsid w:val="BFFF6E15"/>
    <w:rsid w:val="C21F5834"/>
    <w:rsid w:val="C2FFAA62"/>
    <w:rsid w:val="C4F59CD2"/>
    <w:rsid w:val="C757E154"/>
    <w:rsid w:val="C7BEFC4A"/>
    <w:rsid w:val="C9FAAEA7"/>
    <w:rsid w:val="CAFF0713"/>
    <w:rsid w:val="CBE7E1F5"/>
    <w:rsid w:val="CBFA5DE6"/>
    <w:rsid w:val="CBFB7E13"/>
    <w:rsid w:val="CDDE48C4"/>
    <w:rsid w:val="CDEF97E4"/>
    <w:rsid w:val="CDFF79FA"/>
    <w:rsid w:val="CF597A42"/>
    <w:rsid w:val="CFA72C1D"/>
    <w:rsid w:val="CFBA2819"/>
    <w:rsid w:val="CFEF2D7F"/>
    <w:rsid w:val="CFFB4A7A"/>
    <w:rsid w:val="D3F9956D"/>
    <w:rsid w:val="D3FF289B"/>
    <w:rsid w:val="D55F55C9"/>
    <w:rsid w:val="D5DE7AAA"/>
    <w:rsid w:val="D5FF17FF"/>
    <w:rsid w:val="D65AB2C8"/>
    <w:rsid w:val="D69F75C4"/>
    <w:rsid w:val="D6FBD9C5"/>
    <w:rsid w:val="D71E4091"/>
    <w:rsid w:val="D7A8ED46"/>
    <w:rsid w:val="D7BE4AA3"/>
    <w:rsid w:val="D7DF340D"/>
    <w:rsid w:val="D7FB6B30"/>
    <w:rsid w:val="D7FD069F"/>
    <w:rsid w:val="D7FF9709"/>
    <w:rsid w:val="D8BF97E6"/>
    <w:rsid w:val="D9775F10"/>
    <w:rsid w:val="D9A15942"/>
    <w:rsid w:val="DA3CEBDD"/>
    <w:rsid w:val="DB0F6ECF"/>
    <w:rsid w:val="DB2FD90C"/>
    <w:rsid w:val="DB4E1381"/>
    <w:rsid w:val="DB579486"/>
    <w:rsid w:val="DB5BE0ED"/>
    <w:rsid w:val="DB663168"/>
    <w:rsid w:val="DBE6918B"/>
    <w:rsid w:val="DBF6E7B6"/>
    <w:rsid w:val="DBFDC303"/>
    <w:rsid w:val="DBFF5409"/>
    <w:rsid w:val="DBFF9FCB"/>
    <w:rsid w:val="DC7FE240"/>
    <w:rsid w:val="DCB7B27D"/>
    <w:rsid w:val="DD23201B"/>
    <w:rsid w:val="DD5A830F"/>
    <w:rsid w:val="DD7F5097"/>
    <w:rsid w:val="DDBB8BDC"/>
    <w:rsid w:val="DDDF7E91"/>
    <w:rsid w:val="DDF75381"/>
    <w:rsid w:val="DE73220B"/>
    <w:rsid w:val="DE7DBEBF"/>
    <w:rsid w:val="DE9876F9"/>
    <w:rsid w:val="DEAFD6A3"/>
    <w:rsid w:val="DEDF584C"/>
    <w:rsid w:val="DEE7D242"/>
    <w:rsid w:val="DEEB356A"/>
    <w:rsid w:val="DEF79A48"/>
    <w:rsid w:val="DEF7BE1E"/>
    <w:rsid w:val="DEFB4E6F"/>
    <w:rsid w:val="DF1F06C1"/>
    <w:rsid w:val="DF3735C7"/>
    <w:rsid w:val="DF3E77F2"/>
    <w:rsid w:val="DF3FD341"/>
    <w:rsid w:val="DF8FCD6C"/>
    <w:rsid w:val="DFAD1F9C"/>
    <w:rsid w:val="DFAF6591"/>
    <w:rsid w:val="DFB784A7"/>
    <w:rsid w:val="DFBC9EDD"/>
    <w:rsid w:val="DFBD7098"/>
    <w:rsid w:val="DFBFEB1F"/>
    <w:rsid w:val="DFE5E659"/>
    <w:rsid w:val="DFE7DE53"/>
    <w:rsid w:val="DFEC36D5"/>
    <w:rsid w:val="DFEE67B7"/>
    <w:rsid w:val="DFF5E785"/>
    <w:rsid w:val="DFF7A038"/>
    <w:rsid w:val="DFF93A98"/>
    <w:rsid w:val="DFFD0C39"/>
    <w:rsid w:val="DFFD55D4"/>
    <w:rsid w:val="DFFF4BFF"/>
    <w:rsid w:val="DFFF8B16"/>
    <w:rsid w:val="DFFFBC0F"/>
    <w:rsid w:val="DFFFD51E"/>
    <w:rsid w:val="E1563EFC"/>
    <w:rsid w:val="E1E7ACC2"/>
    <w:rsid w:val="E41FD61A"/>
    <w:rsid w:val="E568D41C"/>
    <w:rsid w:val="E58B9CBF"/>
    <w:rsid w:val="E5BE103A"/>
    <w:rsid w:val="E75EA575"/>
    <w:rsid w:val="E8D7F887"/>
    <w:rsid w:val="E8FF67C0"/>
    <w:rsid w:val="E9D3CC71"/>
    <w:rsid w:val="E9FCD083"/>
    <w:rsid w:val="EAFFF7D9"/>
    <w:rsid w:val="EB7BD69C"/>
    <w:rsid w:val="EB7FBCE2"/>
    <w:rsid w:val="EBBE86FD"/>
    <w:rsid w:val="EBF02E28"/>
    <w:rsid w:val="EC5DF359"/>
    <w:rsid w:val="ECFF0E44"/>
    <w:rsid w:val="ECFF9806"/>
    <w:rsid w:val="ED4D0EFD"/>
    <w:rsid w:val="ED7F200F"/>
    <w:rsid w:val="EDA86615"/>
    <w:rsid w:val="EDB3F05C"/>
    <w:rsid w:val="EDCB4FB7"/>
    <w:rsid w:val="EDDF0C37"/>
    <w:rsid w:val="EDE62D26"/>
    <w:rsid w:val="EDE984BF"/>
    <w:rsid w:val="EDF36BB2"/>
    <w:rsid w:val="EDF7A4C7"/>
    <w:rsid w:val="EDFC6BCF"/>
    <w:rsid w:val="EDFF92C1"/>
    <w:rsid w:val="EDFFB8F4"/>
    <w:rsid w:val="EE7E3311"/>
    <w:rsid w:val="EE7F5A0D"/>
    <w:rsid w:val="EEBA5C2B"/>
    <w:rsid w:val="EECF2C38"/>
    <w:rsid w:val="EED9676A"/>
    <w:rsid w:val="EEDB2C81"/>
    <w:rsid w:val="EEDD9CE4"/>
    <w:rsid w:val="EEDF860D"/>
    <w:rsid w:val="EEE30335"/>
    <w:rsid w:val="EEF14A35"/>
    <w:rsid w:val="EF13F30B"/>
    <w:rsid w:val="EF33D5C7"/>
    <w:rsid w:val="EF3F094D"/>
    <w:rsid w:val="EF3FB628"/>
    <w:rsid w:val="EF6BF18E"/>
    <w:rsid w:val="EF6F4F82"/>
    <w:rsid w:val="EF77BF42"/>
    <w:rsid w:val="EF79719E"/>
    <w:rsid w:val="EF8FD770"/>
    <w:rsid w:val="EFB35BB4"/>
    <w:rsid w:val="EFBF1AC6"/>
    <w:rsid w:val="EFBF86EB"/>
    <w:rsid w:val="EFD1D202"/>
    <w:rsid w:val="EFDBDD5A"/>
    <w:rsid w:val="EFEE7339"/>
    <w:rsid w:val="EFF395F9"/>
    <w:rsid w:val="EFFE63CF"/>
    <w:rsid w:val="EFFE99A5"/>
    <w:rsid w:val="EFFEA571"/>
    <w:rsid w:val="EFFEC84E"/>
    <w:rsid w:val="EFFEDEBC"/>
    <w:rsid w:val="EFFF3E98"/>
    <w:rsid w:val="EFFF4AF1"/>
    <w:rsid w:val="F0DF5A24"/>
    <w:rsid w:val="F1797BD1"/>
    <w:rsid w:val="F1BC59B2"/>
    <w:rsid w:val="F1DF6B72"/>
    <w:rsid w:val="F1F7666C"/>
    <w:rsid w:val="F1F903A7"/>
    <w:rsid w:val="F1FD72E7"/>
    <w:rsid w:val="F2FF073E"/>
    <w:rsid w:val="F2FF5CF0"/>
    <w:rsid w:val="F3659F29"/>
    <w:rsid w:val="F377FCD0"/>
    <w:rsid w:val="F3BF0A95"/>
    <w:rsid w:val="F3C50968"/>
    <w:rsid w:val="F3DEB05C"/>
    <w:rsid w:val="F3EA6ACF"/>
    <w:rsid w:val="F3F7D0FC"/>
    <w:rsid w:val="F3FF4879"/>
    <w:rsid w:val="F47E3A5F"/>
    <w:rsid w:val="F4FFD101"/>
    <w:rsid w:val="F5DF3FBD"/>
    <w:rsid w:val="F5F2A1DD"/>
    <w:rsid w:val="F5F35C0C"/>
    <w:rsid w:val="F5F5BE10"/>
    <w:rsid w:val="F5FF3581"/>
    <w:rsid w:val="F6B33A09"/>
    <w:rsid w:val="F6BB1528"/>
    <w:rsid w:val="F6BBB8BD"/>
    <w:rsid w:val="F6E53244"/>
    <w:rsid w:val="F6F752E0"/>
    <w:rsid w:val="F6FE8EF4"/>
    <w:rsid w:val="F6FF970A"/>
    <w:rsid w:val="F73F169C"/>
    <w:rsid w:val="F7451115"/>
    <w:rsid w:val="F7555914"/>
    <w:rsid w:val="F75EA432"/>
    <w:rsid w:val="F77E77AF"/>
    <w:rsid w:val="F77F8063"/>
    <w:rsid w:val="F77FAE8F"/>
    <w:rsid w:val="F7A19742"/>
    <w:rsid w:val="F7A78C9C"/>
    <w:rsid w:val="F7B6C054"/>
    <w:rsid w:val="F7BDA684"/>
    <w:rsid w:val="F7BDE860"/>
    <w:rsid w:val="F7BF4862"/>
    <w:rsid w:val="F7F9489B"/>
    <w:rsid w:val="F7FBE0AF"/>
    <w:rsid w:val="F7FF078F"/>
    <w:rsid w:val="F7FF464D"/>
    <w:rsid w:val="F7FFAE36"/>
    <w:rsid w:val="F7FFD63A"/>
    <w:rsid w:val="F87E7D12"/>
    <w:rsid w:val="F8E502C7"/>
    <w:rsid w:val="F9AEE601"/>
    <w:rsid w:val="F9DF0A76"/>
    <w:rsid w:val="F9E719B1"/>
    <w:rsid w:val="F9EEF6E2"/>
    <w:rsid w:val="FA2D43FE"/>
    <w:rsid w:val="FA37367D"/>
    <w:rsid w:val="FA74391D"/>
    <w:rsid w:val="FA7F031C"/>
    <w:rsid w:val="FAD0D058"/>
    <w:rsid w:val="FB2F7DAC"/>
    <w:rsid w:val="FB6F1F1A"/>
    <w:rsid w:val="FB785169"/>
    <w:rsid w:val="FB7B97A0"/>
    <w:rsid w:val="FBAFF22D"/>
    <w:rsid w:val="FBB6BB6D"/>
    <w:rsid w:val="FBC51B30"/>
    <w:rsid w:val="FBDA5069"/>
    <w:rsid w:val="FBDB1C63"/>
    <w:rsid w:val="FBDFECA0"/>
    <w:rsid w:val="FBE7D0CA"/>
    <w:rsid w:val="FBE9B150"/>
    <w:rsid w:val="FBEC607B"/>
    <w:rsid w:val="FBEDB749"/>
    <w:rsid w:val="FBF6D248"/>
    <w:rsid w:val="FBF71CA1"/>
    <w:rsid w:val="FBF736EE"/>
    <w:rsid w:val="FBFB0E85"/>
    <w:rsid w:val="FBFE60E2"/>
    <w:rsid w:val="FBFF357F"/>
    <w:rsid w:val="FBFF51AC"/>
    <w:rsid w:val="FBFF93B2"/>
    <w:rsid w:val="FCC9F774"/>
    <w:rsid w:val="FCEBBAE6"/>
    <w:rsid w:val="FCEF5F62"/>
    <w:rsid w:val="FCF7155A"/>
    <w:rsid w:val="FCF7688A"/>
    <w:rsid w:val="FCF7BBE2"/>
    <w:rsid w:val="FCFCB797"/>
    <w:rsid w:val="FCFD36CA"/>
    <w:rsid w:val="FD0B697D"/>
    <w:rsid w:val="FD4F64A8"/>
    <w:rsid w:val="FD6444B1"/>
    <w:rsid w:val="FD6F82DC"/>
    <w:rsid w:val="FD752279"/>
    <w:rsid w:val="FD75CF39"/>
    <w:rsid w:val="FD75EF35"/>
    <w:rsid w:val="FD784FE9"/>
    <w:rsid w:val="FDADD6F8"/>
    <w:rsid w:val="FDCAFC2D"/>
    <w:rsid w:val="FDDEDBB1"/>
    <w:rsid w:val="FDDFF699"/>
    <w:rsid w:val="FDE753CC"/>
    <w:rsid w:val="FDEE9DAD"/>
    <w:rsid w:val="FDEFDAB3"/>
    <w:rsid w:val="FDF6EED6"/>
    <w:rsid w:val="FDFBB064"/>
    <w:rsid w:val="FDFBFFF0"/>
    <w:rsid w:val="FDFD5740"/>
    <w:rsid w:val="FDFE6E2F"/>
    <w:rsid w:val="FDFF33C6"/>
    <w:rsid w:val="FDFF5900"/>
    <w:rsid w:val="FE67427C"/>
    <w:rsid w:val="FEB76C46"/>
    <w:rsid w:val="FEC696CD"/>
    <w:rsid w:val="FEC6D3C3"/>
    <w:rsid w:val="FED61977"/>
    <w:rsid w:val="FEEF7C8A"/>
    <w:rsid w:val="FEF7D989"/>
    <w:rsid w:val="FEFB543E"/>
    <w:rsid w:val="FEFD9BDD"/>
    <w:rsid w:val="FEFEC381"/>
    <w:rsid w:val="FEFFD592"/>
    <w:rsid w:val="FF19E65C"/>
    <w:rsid w:val="FF1F2211"/>
    <w:rsid w:val="FF27D63E"/>
    <w:rsid w:val="FF2E5DAE"/>
    <w:rsid w:val="FF48C807"/>
    <w:rsid w:val="FF49D054"/>
    <w:rsid w:val="FF4F0B1B"/>
    <w:rsid w:val="FF4F7041"/>
    <w:rsid w:val="FF5A4BDB"/>
    <w:rsid w:val="FF5E635F"/>
    <w:rsid w:val="FF6E83FD"/>
    <w:rsid w:val="FF6F050C"/>
    <w:rsid w:val="FF7563E9"/>
    <w:rsid w:val="FF774181"/>
    <w:rsid w:val="FF7776CF"/>
    <w:rsid w:val="FF7AB1A3"/>
    <w:rsid w:val="FF7D8906"/>
    <w:rsid w:val="FF7DBAD8"/>
    <w:rsid w:val="FF7EBBBC"/>
    <w:rsid w:val="FF7EE626"/>
    <w:rsid w:val="FF7FD4F0"/>
    <w:rsid w:val="FF7FDE7C"/>
    <w:rsid w:val="FF87A9BA"/>
    <w:rsid w:val="FF9E33C6"/>
    <w:rsid w:val="FFA7C757"/>
    <w:rsid w:val="FFAFA4A5"/>
    <w:rsid w:val="FFB3DAD7"/>
    <w:rsid w:val="FFB6F2DE"/>
    <w:rsid w:val="FFB89ACB"/>
    <w:rsid w:val="FFB9FCD6"/>
    <w:rsid w:val="FFBB0D43"/>
    <w:rsid w:val="FFBB8CEA"/>
    <w:rsid w:val="FFBECCCC"/>
    <w:rsid w:val="FFBFAC20"/>
    <w:rsid w:val="FFD884CB"/>
    <w:rsid w:val="FFDE42AA"/>
    <w:rsid w:val="FFDF0929"/>
    <w:rsid w:val="FFDF0C8D"/>
    <w:rsid w:val="FFE745CA"/>
    <w:rsid w:val="FFEAA5EA"/>
    <w:rsid w:val="FFEC3552"/>
    <w:rsid w:val="FFED6D20"/>
    <w:rsid w:val="FFEDFB55"/>
    <w:rsid w:val="FFEE6A09"/>
    <w:rsid w:val="FFEEC3D9"/>
    <w:rsid w:val="FFEF13C5"/>
    <w:rsid w:val="FFEF298C"/>
    <w:rsid w:val="FFEF3577"/>
    <w:rsid w:val="FFEF3C06"/>
    <w:rsid w:val="FFEF6323"/>
    <w:rsid w:val="FFEF7F65"/>
    <w:rsid w:val="FFF227BF"/>
    <w:rsid w:val="FFF49DC8"/>
    <w:rsid w:val="FFF731CE"/>
    <w:rsid w:val="FFF76BC5"/>
    <w:rsid w:val="FFF9705B"/>
    <w:rsid w:val="FFFA000A"/>
    <w:rsid w:val="FFFB4375"/>
    <w:rsid w:val="FFFB5B55"/>
    <w:rsid w:val="FFFB6047"/>
    <w:rsid w:val="FFFB63D4"/>
    <w:rsid w:val="FFFBD2D7"/>
    <w:rsid w:val="FFFC7CFC"/>
    <w:rsid w:val="FFFD11FD"/>
    <w:rsid w:val="FFFD5BDA"/>
    <w:rsid w:val="FFFDE154"/>
    <w:rsid w:val="FFFE8075"/>
    <w:rsid w:val="FFFEF551"/>
    <w:rsid w:val="FFFEFD7D"/>
    <w:rsid w:val="FFFF00C9"/>
    <w:rsid w:val="FFFF75AB"/>
    <w:rsid w:val="FFFFC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caption"/>
    <w:basedOn w:val="1"/>
    <w:next w:val="3"/>
    <w:unhideWhenUsed/>
    <w:qFormat/>
    <w:uiPriority w:val="0"/>
    <w:rPr>
      <w:rFonts w:ascii="Cambria" w:hAnsi="Cambria" w:eastAsia="仿宋"/>
      <w:kern w:val="0"/>
    </w:rPr>
  </w:style>
  <w:style w:type="paragraph" w:styleId="3">
    <w:name w:val="Body Text Indent 2"/>
    <w:basedOn w:val="1"/>
    <w:link w:val="9"/>
    <w:qFormat/>
    <w:uiPriority w:val="0"/>
    <w:pPr>
      <w:spacing w:after="120" w:line="480" w:lineRule="auto"/>
      <w:ind w:left="420" w:leftChars="20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Normal (Web)"/>
    <w:basedOn w:val="1"/>
    <w:qFormat/>
    <w:uiPriority w:val="0"/>
    <w:rPr>
      <w:sz w:val="24"/>
    </w:rPr>
  </w:style>
  <w:style w:type="paragraph" w:styleId="8">
    <w:name w:val="List Paragraph"/>
    <w:basedOn w:val="1"/>
    <w:qFormat/>
    <w:uiPriority w:val="34"/>
    <w:pPr>
      <w:ind w:firstLine="420" w:firstLineChars="200"/>
    </w:pPr>
  </w:style>
  <w:style w:type="character" w:customStyle="1" w:styleId="9">
    <w:name w:val="正文文本缩进 2 字符"/>
    <w:basedOn w:val="7"/>
    <w:link w:val="3"/>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6363BB-7392-43F1-A557-2FE1F0449E59}">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1352</Words>
  <Characters>7712</Characters>
  <Lines>64</Lines>
  <Paragraphs>18</Paragraphs>
  <TotalTime>34</TotalTime>
  <ScaleCrop>false</ScaleCrop>
  <LinksUpToDate>false</LinksUpToDate>
  <CharactersWithSpaces>9046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2023-10-02T07:41:00Z</dcterms:created>
  <dc:creator>Administrator</dc:creator>
  <cp:lastModifiedBy>lenovo</cp:lastModifiedBy>
  <dcterms:modified xsi:type="dcterms:W3CDTF">2023-10-03T01:47:46Z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21B96C25F4E44D289C02BEB3FDB7FF77</vt:lpwstr>
  </property>
</Properties>
</file>