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overflowPunct/>
        <w:topLinePunct w:val="0"/>
        <w:autoSpaceDE/>
        <w:autoSpaceDN/>
        <w:bidi w:val="0"/>
        <w:adjustRightInd/>
        <w:snapToGrid/>
        <w:spacing w:line="720" w:lineRule="auto"/>
        <w:jc w:val="center"/>
        <w:textAlignment w:val="auto"/>
        <w:outlineLvl w:val="0"/>
        <w:rPr>
          <w:rFonts w:hint="eastAsia" w:ascii="宋体" w:hAnsi="宋体" w:eastAsia="宋体" w:cs="宋体"/>
          <w:b/>
          <w:bCs/>
          <w:color w:val="282828"/>
          <w:spacing w:val="60"/>
          <w:kern w:val="36"/>
          <w:sz w:val="44"/>
          <w:szCs w:val="44"/>
        </w:rPr>
      </w:pPr>
    </w:p>
    <w:p>
      <w:pPr>
        <w:keepNext w:val="0"/>
        <w:keepLines w:val="0"/>
        <w:pageBreakBefore w:val="0"/>
        <w:widowControl/>
        <w:kinsoku/>
        <w:overflowPunct/>
        <w:topLinePunct w:val="0"/>
        <w:autoSpaceDE/>
        <w:autoSpaceDN/>
        <w:bidi w:val="0"/>
        <w:adjustRightInd/>
        <w:snapToGrid/>
        <w:spacing w:line="720" w:lineRule="auto"/>
        <w:jc w:val="center"/>
        <w:textAlignment w:val="auto"/>
        <w:outlineLvl w:val="0"/>
        <w:rPr>
          <w:rFonts w:hint="eastAsia" w:ascii="宋体" w:hAnsi="宋体" w:eastAsia="宋体" w:cs="宋体"/>
          <w:b/>
          <w:bCs/>
          <w:color w:val="282828"/>
          <w:spacing w:val="60"/>
          <w:kern w:val="36"/>
          <w:sz w:val="44"/>
          <w:szCs w:val="44"/>
        </w:rPr>
      </w:pPr>
    </w:p>
    <w:p>
      <w:pPr>
        <w:keepNext w:val="0"/>
        <w:keepLines w:val="0"/>
        <w:pageBreakBefore w:val="0"/>
        <w:widowControl/>
        <w:kinsoku/>
        <w:overflowPunct/>
        <w:topLinePunct w:val="0"/>
        <w:autoSpaceDE/>
        <w:autoSpaceDN/>
        <w:bidi w:val="0"/>
        <w:adjustRightInd/>
        <w:snapToGrid/>
        <w:spacing w:line="720" w:lineRule="auto"/>
        <w:jc w:val="center"/>
        <w:textAlignment w:val="auto"/>
        <w:outlineLvl w:val="0"/>
        <w:rPr>
          <w:rFonts w:hint="eastAsia" w:ascii="宋体" w:hAnsi="宋体" w:eastAsia="宋体" w:cs="宋体"/>
          <w:b/>
          <w:bCs/>
          <w:color w:val="282828"/>
          <w:spacing w:val="60"/>
          <w:kern w:val="36"/>
          <w:sz w:val="44"/>
          <w:szCs w:val="44"/>
        </w:rPr>
      </w:pPr>
    </w:p>
    <w:p>
      <w:pPr>
        <w:keepNext w:val="0"/>
        <w:keepLines w:val="0"/>
        <w:pageBreakBefore w:val="0"/>
        <w:widowControl/>
        <w:kinsoku/>
        <w:overflowPunct/>
        <w:topLinePunct w:val="0"/>
        <w:autoSpaceDE/>
        <w:autoSpaceDN/>
        <w:bidi w:val="0"/>
        <w:adjustRightInd/>
        <w:snapToGrid/>
        <w:spacing w:line="720" w:lineRule="auto"/>
        <w:jc w:val="center"/>
        <w:textAlignment w:val="auto"/>
        <w:outlineLvl w:val="0"/>
        <w:rPr>
          <w:rFonts w:hint="eastAsia" w:ascii="宋体" w:hAnsi="宋体" w:eastAsia="宋体" w:cs="宋体"/>
          <w:b/>
          <w:bCs/>
          <w:color w:val="282828"/>
          <w:spacing w:val="60"/>
          <w:kern w:val="36"/>
          <w:sz w:val="44"/>
          <w:szCs w:val="44"/>
        </w:rPr>
      </w:pPr>
    </w:p>
    <w:p>
      <w:pPr>
        <w:keepNext w:val="0"/>
        <w:keepLines w:val="0"/>
        <w:pageBreakBefore w:val="0"/>
        <w:widowControl/>
        <w:kinsoku/>
        <w:wordWrap/>
        <w:overflowPunct/>
        <w:topLinePunct w:val="0"/>
        <w:autoSpaceDE/>
        <w:autoSpaceDN/>
        <w:bidi w:val="0"/>
        <w:adjustRightInd/>
        <w:snapToGrid/>
        <w:spacing w:line="720" w:lineRule="auto"/>
        <w:jc w:val="center"/>
        <w:textAlignment w:val="auto"/>
        <w:outlineLvl w:val="0"/>
        <w:rPr>
          <w:rFonts w:hint="eastAsia" w:ascii="宋体" w:hAnsi="宋体" w:eastAsia="宋体" w:cs="宋体"/>
          <w:b/>
          <w:bCs/>
          <w:color w:val="282828"/>
          <w:spacing w:val="60"/>
          <w:kern w:val="36"/>
          <w:sz w:val="44"/>
          <w:szCs w:val="44"/>
          <w:lang w:eastAsia="zh-CN"/>
        </w:rPr>
      </w:pPr>
      <w:r>
        <w:rPr>
          <w:rFonts w:hint="eastAsia" w:ascii="宋体" w:hAnsi="宋体" w:eastAsia="宋体" w:cs="宋体"/>
          <w:b/>
          <w:bCs/>
          <w:color w:val="282828"/>
          <w:spacing w:val="60"/>
          <w:kern w:val="36"/>
          <w:sz w:val="44"/>
          <w:szCs w:val="44"/>
        </w:rPr>
        <w:t>大同市残疾人联合会</w:t>
      </w:r>
      <w:r>
        <w:rPr>
          <w:rFonts w:hint="eastAsia" w:ascii="宋体" w:hAnsi="宋体" w:eastAsia="宋体" w:cs="宋体"/>
          <w:b/>
          <w:bCs/>
          <w:color w:val="282828"/>
          <w:spacing w:val="60"/>
          <w:kern w:val="36"/>
          <w:sz w:val="44"/>
          <w:szCs w:val="44"/>
          <w:lang w:eastAsia="zh-CN"/>
        </w:rPr>
        <w:t>（部门）</w:t>
      </w:r>
    </w:p>
    <w:p>
      <w:pPr>
        <w:keepNext w:val="0"/>
        <w:keepLines w:val="0"/>
        <w:pageBreakBefore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bCs/>
          <w:color w:val="282828"/>
          <w:spacing w:val="60"/>
          <w:kern w:val="36"/>
          <w:sz w:val="44"/>
          <w:szCs w:val="44"/>
        </w:rPr>
      </w:pPr>
      <w:r>
        <w:rPr>
          <w:rFonts w:hint="eastAsia" w:ascii="宋体" w:hAnsi="宋体" w:eastAsia="宋体" w:cs="宋体"/>
          <w:b/>
          <w:bCs/>
          <w:color w:val="282828"/>
          <w:spacing w:val="60"/>
          <w:kern w:val="36"/>
          <w:sz w:val="44"/>
          <w:szCs w:val="44"/>
        </w:rPr>
        <w:t>202</w:t>
      </w:r>
      <w:r>
        <w:rPr>
          <w:rFonts w:hint="eastAsia" w:ascii="宋体" w:hAnsi="宋体" w:cs="宋体"/>
          <w:b/>
          <w:bCs/>
          <w:color w:val="282828"/>
          <w:spacing w:val="60"/>
          <w:kern w:val="36"/>
          <w:sz w:val="44"/>
          <w:szCs w:val="44"/>
          <w:lang w:val="en-US" w:eastAsia="zh-CN"/>
        </w:rPr>
        <w:t>2</w:t>
      </w:r>
      <w:r>
        <w:rPr>
          <w:rFonts w:hint="eastAsia" w:ascii="宋体" w:hAnsi="宋体" w:eastAsia="宋体" w:cs="宋体"/>
          <w:b/>
          <w:bCs/>
          <w:color w:val="282828"/>
          <w:spacing w:val="60"/>
          <w:kern w:val="36"/>
          <w:sz w:val="44"/>
          <w:szCs w:val="44"/>
        </w:rPr>
        <w:t>年</w:t>
      </w:r>
      <w:r>
        <w:rPr>
          <w:rFonts w:hint="eastAsia" w:ascii="宋体" w:hAnsi="宋体" w:cs="宋体"/>
          <w:b/>
          <w:bCs/>
          <w:color w:val="282828"/>
          <w:spacing w:val="60"/>
          <w:kern w:val="36"/>
          <w:sz w:val="44"/>
          <w:szCs w:val="44"/>
          <w:lang w:eastAsia="zh-CN"/>
        </w:rPr>
        <w:t>预算</w:t>
      </w:r>
      <w:r>
        <w:rPr>
          <w:rFonts w:hint="eastAsia" w:ascii="宋体" w:hAnsi="宋体" w:eastAsia="宋体" w:cs="宋体"/>
          <w:b/>
          <w:bCs/>
          <w:color w:val="282828"/>
          <w:spacing w:val="60"/>
          <w:kern w:val="36"/>
          <w:sz w:val="44"/>
          <w:szCs w:val="44"/>
        </w:rPr>
        <w:t>公</w:t>
      </w:r>
      <w:r>
        <w:rPr>
          <w:rFonts w:hint="eastAsia" w:ascii="宋体" w:hAnsi="宋体" w:eastAsia="宋体" w:cs="宋体"/>
          <w:b/>
          <w:bCs/>
          <w:color w:val="282828"/>
          <w:spacing w:val="60"/>
          <w:kern w:val="36"/>
          <w:sz w:val="44"/>
          <w:szCs w:val="44"/>
          <w:lang w:val="en-US" w:eastAsia="zh-CN"/>
        </w:rPr>
        <w:t>开</w:t>
      </w:r>
      <w:r>
        <w:rPr>
          <w:rFonts w:hint="eastAsia" w:ascii="宋体" w:hAnsi="宋体" w:eastAsia="宋体" w:cs="宋体"/>
          <w:b/>
          <w:bCs/>
          <w:color w:val="282828"/>
          <w:spacing w:val="60"/>
          <w:kern w:val="36"/>
          <w:sz w:val="44"/>
          <w:szCs w:val="44"/>
        </w:rPr>
        <w:t>情况</w:t>
      </w: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jc w:val="center"/>
        <w:rPr>
          <w:rFonts w:hint="eastAsia" w:ascii="sans-serif" w:hAnsi="sans-serif" w:eastAsia="sans-serif" w:cs="sans-serif"/>
          <w:i w:val="0"/>
          <w:iCs w:val="0"/>
          <w:caps w:val="0"/>
          <w:color w:val="000000"/>
          <w:spacing w:val="0"/>
          <w:kern w:val="0"/>
          <w:sz w:val="43"/>
          <w:szCs w:val="43"/>
          <w:shd w:val="clear" w:fill="FFFFFF"/>
          <w:lang w:val="en-US" w:eastAsia="zh-CN" w:bidi="ar"/>
        </w:rPr>
      </w:pPr>
      <w:r>
        <w:rPr>
          <w:rFonts w:hint="eastAsia" w:ascii="sans-serif" w:hAnsi="sans-serif" w:eastAsia="sans-serif" w:cs="sans-serif"/>
          <w:i w:val="0"/>
          <w:iCs w:val="0"/>
          <w:caps w:val="0"/>
          <w:color w:val="000000"/>
          <w:spacing w:val="0"/>
          <w:kern w:val="0"/>
          <w:sz w:val="43"/>
          <w:szCs w:val="43"/>
          <w:shd w:val="clear" w:fill="FFFFFF"/>
          <w:lang w:val="en-US" w:eastAsia="zh-CN" w:bidi="ar"/>
        </w:rPr>
        <w:t>目  录</w:t>
      </w:r>
    </w:p>
    <w:p>
      <w:pPr>
        <w:rPr>
          <w:rFonts w:hint="eastAsia" w:ascii="宋体" w:hAnsi="宋体" w:eastAsia="宋体" w:cs="宋体"/>
          <w:b/>
          <w:bCs/>
          <w:sz w:val="28"/>
          <w:szCs w:val="28"/>
        </w:rPr>
      </w:pP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bCs/>
          <w:sz w:val="28"/>
          <w:szCs w:val="28"/>
        </w:rPr>
      </w:pPr>
      <w:r>
        <w:rPr>
          <w:rFonts w:hint="eastAsia" w:ascii="宋体" w:hAnsi="宋体" w:eastAsia="宋体" w:cs="宋体"/>
          <w:b/>
          <w:bCs/>
          <w:sz w:val="28"/>
          <w:szCs w:val="28"/>
        </w:rPr>
        <w:t>第一部分</w:t>
      </w:r>
      <w:r>
        <w:rPr>
          <w:rFonts w:hint="eastAsia" w:ascii="宋体" w:hAnsi="宋体" w:eastAsia="宋体" w:cs="宋体"/>
          <w:b/>
          <w:bCs/>
          <w:sz w:val="28"/>
          <w:szCs w:val="28"/>
          <w:lang w:eastAsia="zh-CN"/>
        </w:rPr>
        <w:t>部门</w:t>
      </w:r>
      <w:r>
        <w:rPr>
          <w:rFonts w:hint="eastAsia" w:ascii="宋体" w:hAnsi="宋体" w:eastAsia="宋体" w:cs="宋体"/>
          <w:b/>
          <w:bCs/>
          <w:sz w:val="28"/>
          <w:szCs w:val="28"/>
        </w:rPr>
        <w:t>概况</w:t>
      </w:r>
    </w:p>
    <w:p>
      <w:pPr>
        <w:keepNext w:val="0"/>
        <w:keepLines w:val="0"/>
        <w:pageBreakBefore w:val="0"/>
        <w:widowControl w:val="0"/>
        <w:numPr>
          <w:ilvl w:val="0"/>
          <w:numId w:val="1"/>
        </w:numPr>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lang w:eastAsia="zh-CN"/>
        </w:rPr>
        <w:t>部门</w:t>
      </w:r>
      <w:r>
        <w:rPr>
          <w:rFonts w:hint="eastAsia" w:ascii="宋体" w:hAnsi="宋体" w:eastAsia="宋体" w:cs="宋体"/>
          <w:sz w:val="28"/>
          <w:szCs w:val="28"/>
        </w:rPr>
        <w:t>职责</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二、机构设置情况</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bCs/>
          <w:sz w:val="28"/>
          <w:szCs w:val="28"/>
        </w:rPr>
      </w:pPr>
      <w:r>
        <w:rPr>
          <w:rFonts w:hint="eastAsia" w:ascii="宋体" w:hAnsi="宋体" w:eastAsia="宋体" w:cs="宋体"/>
          <w:b/>
          <w:bCs/>
          <w:sz w:val="28"/>
          <w:szCs w:val="28"/>
        </w:rPr>
        <w:t>第二部分202</w:t>
      </w: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年度</w:t>
      </w:r>
      <w:r>
        <w:rPr>
          <w:rFonts w:hint="eastAsia" w:ascii="宋体" w:hAnsi="宋体" w:eastAsia="宋体" w:cs="宋体"/>
          <w:b/>
          <w:bCs/>
          <w:sz w:val="28"/>
          <w:szCs w:val="28"/>
          <w:lang w:eastAsia="zh-CN"/>
        </w:rPr>
        <w:t>部门</w:t>
      </w:r>
      <w:r>
        <w:rPr>
          <w:rFonts w:hint="eastAsia" w:ascii="宋体" w:hAnsi="宋体" w:eastAsia="宋体" w:cs="宋体"/>
          <w:b/>
          <w:bCs/>
          <w:sz w:val="28"/>
          <w:szCs w:val="28"/>
          <w:lang w:val="en-US" w:eastAsia="zh-CN"/>
        </w:rPr>
        <w:t>预算报</w:t>
      </w:r>
      <w:r>
        <w:rPr>
          <w:rFonts w:hint="eastAsia" w:ascii="宋体" w:hAnsi="宋体" w:eastAsia="宋体" w:cs="宋体"/>
          <w:b/>
          <w:bCs/>
          <w:sz w:val="28"/>
          <w:szCs w:val="28"/>
        </w:rPr>
        <w:t>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一、</w:t>
      </w:r>
      <w:r>
        <w:rPr>
          <w:rFonts w:hint="eastAsia" w:ascii="宋体" w:hAnsi="宋体" w:eastAsia="宋体" w:cs="宋体"/>
          <w:b w:val="0"/>
          <w:bCs w:val="0"/>
          <w:i w:val="0"/>
          <w:iCs w:val="0"/>
          <w:caps w:val="0"/>
          <w:color w:val="000000"/>
          <w:spacing w:val="0"/>
          <w:sz w:val="28"/>
          <w:szCs w:val="28"/>
          <w:shd w:val="clear" w:fill="FFFFFF"/>
          <w:lang w:val="en-US" w:eastAsia="zh-CN"/>
        </w:rPr>
        <w:t>预算收支总表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b w:val="0"/>
          <w:bCs w:val="0"/>
          <w:i w:val="0"/>
          <w:iCs w:val="0"/>
          <w:caps w:val="0"/>
          <w:color w:val="000000"/>
          <w:spacing w:val="0"/>
          <w:sz w:val="28"/>
          <w:szCs w:val="28"/>
          <w:shd w:val="clear" w:fill="FFFFFF"/>
          <w:lang w:val="en-US" w:eastAsia="zh-CN"/>
        </w:rPr>
        <w:t>预算收入总表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三、</w:t>
      </w:r>
      <w:r>
        <w:rPr>
          <w:rFonts w:hint="eastAsia" w:ascii="宋体" w:hAnsi="宋体" w:eastAsia="宋体" w:cs="宋体"/>
          <w:b w:val="0"/>
          <w:bCs w:val="0"/>
          <w:i w:val="0"/>
          <w:iCs w:val="0"/>
          <w:caps w:val="0"/>
          <w:color w:val="000000"/>
          <w:spacing w:val="0"/>
          <w:sz w:val="28"/>
          <w:szCs w:val="28"/>
          <w:shd w:val="clear" w:fill="FFFFFF"/>
          <w:lang w:val="en-US" w:eastAsia="zh-CN"/>
        </w:rPr>
        <w:t>预算支出总表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val="0"/>
          <w:bCs w:val="0"/>
          <w:i w:val="0"/>
          <w:iCs w:val="0"/>
          <w:caps w:val="0"/>
          <w:color w:val="000000"/>
          <w:spacing w:val="0"/>
          <w:sz w:val="28"/>
          <w:szCs w:val="28"/>
          <w:shd w:val="clear" w:fill="FFFFFF"/>
          <w:lang w:val="en-US" w:eastAsia="zh-CN"/>
        </w:rPr>
      </w:pPr>
      <w:r>
        <w:rPr>
          <w:rFonts w:hint="eastAsia" w:ascii="宋体" w:hAnsi="宋体" w:eastAsia="宋体" w:cs="宋体"/>
          <w:sz w:val="28"/>
          <w:szCs w:val="28"/>
        </w:rPr>
        <w:t>四、</w:t>
      </w:r>
      <w:r>
        <w:rPr>
          <w:rFonts w:hint="eastAsia" w:ascii="宋体" w:hAnsi="宋体" w:eastAsia="宋体" w:cs="宋体"/>
          <w:b w:val="0"/>
          <w:bCs w:val="0"/>
          <w:i w:val="0"/>
          <w:iCs w:val="0"/>
          <w:caps w:val="0"/>
          <w:color w:val="000000"/>
          <w:spacing w:val="0"/>
          <w:sz w:val="28"/>
          <w:szCs w:val="28"/>
          <w:shd w:val="clear" w:fill="FFFFFF"/>
          <w:lang w:val="en-US" w:eastAsia="zh-CN"/>
        </w:rPr>
        <w:t>财政拨款收支总表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五、</w:t>
      </w:r>
      <w:r>
        <w:rPr>
          <w:rFonts w:hint="eastAsia" w:ascii="宋体" w:hAnsi="宋体" w:eastAsia="宋体" w:cs="宋体"/>
          <w:b w:val="0"/>
          <w:bCs w:val="0"/>
          <w:i w:val="0"/>
          <w:iCs w:val="0"/>
          <w:caps w:val="0"/>
          <w:color w:val="000000"/>
          <w:spacing w:val="0"/>
          <w:sz w:val="28"/>
          <w:szCs w:val="28"/>
          <w:shd w:val="clear" w:fill="FFFFFF"/>
          <w:lang w:val="en-US" w:eastAsia="zh-CN"/>
        </w:rPr>
        <w:t>一般公共预算支出预算表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六、</w:t>
      </w:r>
      <w:r>
        <w:rPr>
          <w:rFonts w:hint="eastAsia" w:ascii="宋体" w:hAnsi="宋体" w:eastAsia="宋体" w:cs="宋体"/>
          <w:b w:val="0"/>
          <w:bCs w:val="0"/>
          <w:i w:val="0"/>
          <w:iCs w:val="0"/>
          <w:caps w:val="0"/>
          <w:color w:val="000000"/>
          <w:spacing w:val="0"/>
          <w:sz w:val="28"/>
          <w:szCs w:val="28"/>
          <w:shd w:val="clear" w:fill="FFFFFF"/>
          <w:lang w:val="en-US" w:eastAsia="zh-CN"/>
        </w:rPr>
        <w:t>一般公共预算安排基本支出分经济科目表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七、</w:t>
      </w:r>
      <w:r>
        <w:rPr>
          <w:rFonts w:hint="eastAsia" w:ascii="宋体" w:hAnsi="宋体" w:eastAsia="宋体" w:cs="宋体"/>
          <w:b w:val="0"/>
          <w:bCs w:val="0"/>
          <w:i w:val="0"/>
          <w:iCs w:val="0"/>
          <w:caps w:val="0"/>
          <w:color w:val="000000"/>
          <w:spacing w:val="0"/>
          <w:sz w:val="28"/>
          <w:szCs w:val="28"/>
          <w:shd w:val="clear" w:fill="FFFFFF"/>
          <w:lang w:val="en-US" w:eastAsia="zh-CN"/>
        </w:rPr>
        <w:t>政府性基金预算收入表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八、</w:t>
      </w:r>
      <w:r>
        <w:rPr>
          <w:rFonts w:hint="eastAsia" w:ascii="宋体" w:hAnsi="宋体" w:eastAsia="宋体" w:cs="宋体"/>
          <w:b w:val="0"/>
          <w:bCs w:val="0"/>
          <w:i w:val="0"/>
          <w:iCs w:val="0"/>
          <w:caps w:val="0"/>
          <w:color w:val="000000"/>
          <w:spacing w:val="0"/>
          <w:sz w:val="28"/>
          <w:szCs w:val="28"/>
          <w:shd w:val="clear" w:fill="FFFFFF"/>
          <w:lang w:val="en-US" w:eastAsia="zh-CN"/>
        </w:rPr>
        <w:t>政府性基金预算支出表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九、</w:t>
      </w:r>
      <w:r>
        <w:rPr>
          <w:rFonts w:hint="eastAsia" w:ascii="宋体" w:hAnsi="宋体" w:eastAsia="宋体" w:cs="宋体"/>
          <w:b w:val="0"/>
          <w:bCs w:val="0"/>
          <w:i w:val="0"/>
          <w:iCs w:val="0"/>
          <w:caps w:val="0"/>
          <w:color w:val="000000"/>
          <w:spacing w:val="0"/>
          <w:sz w:val="28"/>
          <w:szCs w:val="28"/>
          <w:shd w:val="clear" w:fill="FFFFFF"/>
          <w:lang w:val="en-US" w:eastAsia="zh-CN"/>
        </w:rPr>
        <w:t>国有资本经营预算收支预算表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十、</w:t>
      </w:r>
      <w:r>
        <w:rPr>
          <w:rFonts w:hint="eastAsia" w:ascii="宋体" w:hAnsi="宋体" w:eastAsia="宋体" w:cs="宋体"/>
          <w:b w:val="0"/>
          <w:bCs w:val="0"/>
          <w:i w:val="0"/>
          <w:iCs w:val="0"/>
          <w:caps w:val="0"/>
          <w:color w:val="000000"/>
          <w:spacing w:val="0"/>
          <w:sz w:val="28"/>
          <w:szCs w:val="28"/>
          <w:shd w:val="clear" w:fill="FFFFFF"/>
          <w:lang w:val="en-US" w:eastAsia="zh-CN"/>
        </w:rPr>
        <w:t>一般公共预算“三公”经费支出预算表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十一、</w:t>
      </w:r>
      <w:r>
        <w:rPr>
          <w:rFonts w:hint="eastAsia" w:ascii="宋体" w:hAnsi="宋体" w:eastAsia="宋体" w:cs="宋体"/>
          <w:b w:val="0"/>
          <w:bCs w:val="0"/>
          <w:i w:val="0"/>
          <w:iCs w:val="0"/>
          <w:caps w:val="0"/>
          <w:color w:val="000000"/>
          <w:spacing w:val="0"/>
          <w:sz w:val="28"/>
          <w:szCs w:val="28"/>
          <w:shd w:val="clear" w:fill="FFFFFF"/>
          <w:lang w:val="en-US" w:eastAsia="zh-CN"/>
        </w:rPr>
        <w:t>机关运行经费预算财政拨款情况统计表</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bCs/>
          <w:i w:val="0"/>
          <w:iCs w:val="0"/>
          <w:caps w:val="0"/>
          <w:color w:val="000000"/>
          <w:spacing w:val="0"/>
          <w:sz w:val="28"/>
          <w:szCs w:val="28"/>
          <w:shd w:val="clear" w:fill="FFFFFF"/>
        </w:rPr>
      </w:pPr>
      <w:r>
        <w:rPr>
          <w:rFonts w:hint="eastAsia" w:ascii="宋体" w:hAnsi="宋体" w:eastAsia="宋体" w:cs="宋体"/>
          <w:b/>
          <w:bCs/>
          <w:sz w:val="28"/>
          <w:szCs w:val="28"/>
        </w:rPr>
        <w:t>第三部分202</w:t>
      </w:r>
      <w:r>
        <w:rPr>
          <w:rFonts w:hint="eastAsia" w:ascii="宋体" w:hAnsi="宋体" w:eastAsia="宋体" w:cs="宋体"/>
          <w:b/>
          <w:bCs/>
          <w:sz w:val="28"/>
          <w:szCs w:val="28"/>
          <w:lang w:val="en-US" w:eastAsia="zh-CN"/>
        </w:rPr>
        <w:t>2</w:t>
      </w:r>
      <w:r>
        <w:rPr>
          <w:rFonts w:hint="eastAsia" w:ascii="宋体" w:hAnsi="宋体" w:eastAsia="宋体" w:cs="宋体"/>
          <w:b/>
          <w:bCs/>
          <w:sz w:val="28"/>
          <w:szCs w:val="28"/>
        </w:rPr>
        <w:t>年</w:t>
      </w:r>
      <w:r>
        <w:rPr>
          <w:rFonts w:hint="eastAsia" w:ascii="宋体" w:hAnsi="宋体" w:eastAsia="宋体" w:cs="宋体"/>
          <w:b/>
          <w:bCs/>
          <w:sz w:val="28"/>
          <w:szCs w:val="28"/>
          <w:lang w:val="en-US" w:eastAsia="zh-CN"/>
        </w:rPr>
        <w:t>部门预算</w:t>
      </w:r>
      <w:r>
        <w:rPr>
          <w:rFonts w:hint="eastAsia" w:ascii="宋体" w:hAnsi="宋体" w:eastAsia="宋体" w:cs="宋体"/>
          <w:b/>
          <w:bCs/>
          <w:sz w:val="28"/>
          <w:szCs w:val="28"/>
        </w:rPr>
        <w:t>情况说明</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一、2022年度预算收支情况</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val="en-US" w:eastAsia="zh-CN"/>
        </w:rPr>
        <w:t>一般公共预算支出情况</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三、机关运行经费</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四、政府采购预算情况</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五、绩效评价工作情况及评价结果</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六、国有资产占有使用情况</w:t>
      </w: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宋体" w:hAnsi="宋体" w:eastAsia="宋体" w:cs="宋体"/>
          <w:b/>
          <w:bCs/>
          <w:sz w:val="28"/>
          <w:szCs w:val="28"/>
        </w:rPr>
      </w:pPr>
      <w:r>
        <w:rPr>
          <w:rFonts w:hint="eastAsia" w:ascii="宋体" w:hAnsi="宋体" w:eastAsia="宋体" w:cs="宋体"/>
          <w:b/>
          <w:bCs/>
          <w:sz w:val="28"/>
          <w:szCs w:val="28"/>
        </w:rPr>
        <w:t>第四部分 名词解释</w:t>
      </w:r>
    </w:p>
    <w:p>
      <w:pPr>
        <w:pStyle w:val="4"/>
        <w:keepNext w:val="0"/>
        <w:keepLines w:val="0"/>
        <w:pageBreakBefore w:val="0"/>
        <w:kinsoku/>
        <w:wordWrap/>
        <w:overflowPunct/>
        <w:topLinePunct w:val="0"/>
        <w:autoSpaceDE/>
        <w:autoSpaceDN/>
        <w:bidi w:val="0"/>
        <w:adjustRightInd/>
        <w:snapToGrid/>
        <w:spacing w:line="300" w:lineRule="atLeast"/>
        <w:textAlignment w:val="auto"/>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rPr>
      </w:pPr>
    </w:p>
    <w:p>
      <w:pPr>
        <w:rPr>
          <w:rFonts w:hint="eastAsia" w:ascii="宋体" w:hAnsi="宋体" w:eastAsia="宋体" w:cs="宋体"/>
          <w:b/>
          <w:bCs/>
          <w:color w:val="282828"/>
          <w:spacing w:val="60"/>
          <w:kern w:val="36"/>
          <w:sz w:val="44"/>
          <w:szCs w:val="44"/>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ascii="Calibri" w:hAnsi="Calibri" w:cs="Calibri"/>
          <w:i w:val="0"/>
          <w:iCs w:val="0"/>
          <w:sz w:val="28"/>
          <w:szCs w:val="28"/>
        </w:rPr>
      </w:pPr>
      <w:r>
        <w:rPr>
          <w:rFonts w:ascii="黑体" w:hAnsi="宋体" w:eastAsia="黑体" w:cs="黑体"/>
          <w:b/>
          <w:bCs/>
          <w:i w:val="0"/>
          <w:iCs w:val="0"/>
          <w:caps w:val="0"/>
          <w:color w:val="000000"/>
          <w:spacing w:val="0"/>
          <w:sz w:val="28"/>
          <w:szCs w:val="28"/>
          <w:bdr w:val="none" w:color="auto" w:sz="0" w:space="0"/>
          <w:shd w:val="clear" w:fill="FFFFFF"/>
        </w:rPr>
        <w:t>第一部分</w:t>
      </w:r>
      <w:r>
        <w:rPr>
          <w:rFonts w:hint="eastAsia" w:ascii="黑体" w:hAnsi="宋体" w:eastAsia="黑体" w:cs="黑体"/>
          <w:b/>
          <w:bCs/>
          <w:i w:val="0"/>
          <w:iCs w:val="0"/>
          <w:caps w:val="0"/>
          <w:color w:val="000000"/>
          <w:spacing w:val="0"/>
          <w:sz w:val="28"/>
          <w:szCs w:val="28"/>
          <w:bdr w:val="none" w:color="auto" w:sz="0" w:space="0"/>
          <w:shd w:val="clear" w:fill="FFFFFF"/>
        </w:rPr>
        <w:t> 部门概况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sz w:val="28"/>
          <w:szCs w:val="28"/>
        </w:rPr>
      </w:pPr>
      <w:r>
        <w:rPr>
          <w:rFonts w:ascii="仿宋_GB2312" w:hAnsi="Calibri" w:eastAsia="仿宋_GB2312" w:cs="仿宋_GB2312"/>
          <w:b w:val="0"/>
          <w:bCs w:val="0"/>
          <w:i w:val="0"/>
          <w:iCs w:val="0"/>
          <w:caps w:val="0"/>
          <w:color w:val="000000"/>
          <w:spacing w:val="0"/>
          <w:sz w:val="32"/>
          <w:szCs w:val="32"/>
          <w:bdr w:val="none" w:color="auto" w:sz="0" w:space="0"/>
          <w:shd w:val="clear" w:fill="FFFFFF"/>
        </w:rPr>
        <w:t> </w:t>
      </w:r>
      <w:r>
        <w:rPr>
          <w:rFonts w:hint="eastAsia" w:ascii="仿宋_GB2312" w:hAnsi="Calibri" w:eastAsia="仿宋_GB2312" w:cs="仿宋_GB2312"/>
          <w:b w:val="0"/>
          <w:bCs w:val="0"/>
          <w:i w:val="0"/>
          <w:iCs w:val="0"/>
          <w:caps w:val="0"/>
          <w:color w:val="000000"/>
          <w:spacing w:val="0"/>
          <w:sz w:val="32"/>
          <w:szCs w:val="32"/>
          <w:bdr w:val="none" w:color="auto" w:sz="0" w:space="0"/>
          <w:shd w:val="clear" w:fill="FFFFFF"/>
          <w:lang w:val="en-US" w:eastAsia="zh-CN"/>
        </w:rPr>
        <w:t xml:space="preserve">   </w:t>
      </w:r>
      <w:r>
        <w:rPr>
          <w:rFonts w:hint="eastAsia" w:ascii="宋体" w:hAnsi="宋体" w:eastAsia="宋体" w:cs="宋体"/>
          <w:b/>
          <w:bCs/>
          <w:i w:val="0"/>
          <w:iCs w:val="0"/>
          <w:caps w:val="0"/>
          <w:color w:val="000000"/>
          <w:spacing w:val="0"/>
          <w:sz w:val="28"/>
          <w:szCs w:val="28"/>
          <w:bdr w:val="none" w:color="auto" w:sz="0" w:space="0"/>
          <w:shd w:val="clear" w:fill="FFFFFF"/>
        </w:rPr>
        <w:t>一、主要职责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 </w:t>
      </w:r>
      <w:r>
        <w:rPr>
          <w:rFonts w:hint="eastAsia" w:cs="宋体"/>
          <w:b w:val="0"/>
          <w:bCs w:val="0"/>
          <w:i w:val="0"/>
          <w:iCs w:val="0"/>
          <w:caps w:val="0"/>
          <w:color w:val="000000"/>
          <w:spacing w:val="0"/>
          <w:sz w:val="28"/>
          <w:szCs w:val="28"/>
          <w:bdr w:val="none" w:color="auto" w:sz="0" w:space="0"/>
          <w:shd w:val="clear" w:fill="FFFFFF"/>
          <w:lang w:val="en-US" w:eastAsia="zh-CN"/>
        </w:rPr>
        <w:t xml:space="preserve">  </w:t>
      </w:r>
      <w:r>
        <w:rPr>
          <w:rFonts w:hint="eastAsia" w:ascii="宋体" w:hAnsi="宋体" w:eastAsia="宋体" w:cs="宋体"/>
          <w:b w:val="0"/>
          <w:bCs w:val="0"/>
          <w:i w:val="0"/>
          <w:iCs w:val="0"/>
          <w:caps w:val="0"/>
          <w:color w:val="000000"/>
          <w:spacing w:val="0"/>
          <w:sz w:val="28"/>
          <w:szCs w:val="28"/>
          <w:bdr w:val="none" w:color="auto" w:sz="0" w:space="0"/>
          <w:shd w:val="clear" w:fill="FFFFFF"/>
        </w:rPr>
        <w:t>根据市委《关于印发市科协、文联、社科联、贸促会、残联职能配置、内设机构和人员编制方案的通知》（同办发[2001]63号）精神，确定大同市残疾人联合会的主要职责为：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(一)听取残疾人意见，反映残疾人需求，维护残疾人权益，为残疾人服务。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(二)团结教育残疾人遵守法律，履行应尽的义务，发扬乐观进取精神，自尊、自信、自强、自立。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(三)弘扬人道主义，宣传残疾人事业，沟通政府、社会与残疾人之间的联系，动员社会理解、尊重、关心、帮助残疾人。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(四)开展残疾人康复、教育、扶贫、劳动就业、文化、体育、科研、用品供应、福利、社会服务、无障碍设施和残疾预防工作，创造良好的环境和条件，扶助残疾人平等充分地参与社会生活。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(五)协助政府研究、制定和实施残疾人事业的法规、政策、规划和计划，对有关业务领域进行指导和管理，协调有关部门为残疾人提供法律援助。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(六)协助管理县(区)、乡(镇)、街道办事处和驻同大中型企业残联领导班子。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(七)承担市政府残疾人工作协调委员会的日常工作，承担市残联评议委员会的日常工作，做好综合、组织、协调和服务。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(八)指导和按规定管理各类残疾人社团组织。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i w:val="0"/>
          <w:iCs w:val="0"/>
          <w:sz w:val="28"/>
          <w:szCs w:val="28"/>
        </w:rPr>
      </w:pPr>
      <w:r>
        <w:rPr>
          <w:rFonts w:hint="eastAsia" w:ascii="宋体" w:hAnsi="宋体" w:eastAsia="宋体" w:cs="宋体"/>
          <w:b w:val="0"/>
          <w:bCs w:val="0"/>
          <w:i w:val="0"/>
          <w:iCs w:val="0"/>
          <w:caps w:val="0"/>
          <w:color w:val="000000"/>
          <w:spacing w:val="0"/>
          <w:sz w:val="28"/>
          <w:szCs w:val="28"/>
          <w:bdr w:val="none" w:color="auto" w:sz="0" w:space="0"/>
          <w:shd w:val="clear" w:fill="FFFFFF"/>
        </w:rPr>
        <w:t>(九)开展残疾人事业的国际、国内之间的交流和合作。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firstLine="560" w:firstLineChars="200"/>
        <w:jc w:val="both"/>
        <w:rPr>
          <w:rFonts w:hint="eastAsia" w:ascii="宋体" w:hAnsi="宋体" w:eastAsia="宋体" w:cs="宋体"/>
          <w:b w:val="0"/>
          <w:bCs w:val="0"/>
          <w:i w:val="0"/>
          <w:iCs w:val="0"/>
          <w:caps w:val="0"/>
          <w:color w:val="000000"/>
          <w:spacing w:val="0"/>
          <w:sz w:val="28"/>
          <w:szCs w:val="28"/>
          <w:bdr w:val="none" w:color="auto" w:sz="0" w:space="0"/>
          <w:shd w:val="clear" w:fill="FFFFFF"/>
        </w:rPr>
      </w:pPr>
      <w:r>
        <w:rPr>
          <w:rFonts w:hint="eastAsia" w:ascii="宋体" w:hAnsi="宋体" w:eastAsia="宋体" w:cs="宋体"/>
          <w:b w:val="0"/>
          <w:bCs w:val="0"/>
          <w:i w:val="0"/>
          <w:iCs w:val="0"/>
          <w:caps w:val="0"/>
          <w:color w:val="000000"/>
          <w:spacing w:val="0"/>
          <w:sz w:val="28"/>
          <w:szCs w:val="28"/>
          <w:bdr w:val="none" w:color="auto" w:sz="0" w:space="0"/>
          <w:shd w:val="clear" w:fill="FFFFFF"/>
        </w:rPr>
        <w:t>(十)承办市委、市政府交办的其他事项。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宋体" w:hAnsi="宋体" w:eastAsia="宋体" w:cs="宋体"/>
          <w:b w:val="0"/>
          <w:bCs w:val="0"/>
          <w:i w:val="0"/>
          <w:iCs w:val="0"/>
          <w:caps w:val="0"/>
          <w:color w:val="000000"/>
          <w:spacing w:val="0"/>
          <w:sz w:val="28"/>
          <w:szCs w:val="28"/>
          <w:shd w:val="clear" w:fill="FFFFFF"/>
        </w:rPr>
      </w:pPr>
      <w:r>
        <w:rPr>
          <w:rFonts w:hint="eastAsia" w:ascii="宋体" w:hAnsi="宋体" w:eastAsia="宋体" w:cs="宋体"/>
          <w:b w:val="0"/>
          <w:bCs w:val="0"/>
          <w:i w:val="0"/>
          <w:iCs w:val="0"/>
          <w:caps w:val="0"/>
          <w:color w:val="000000"/>
          <w:spacing w:val="0"/>
          <w:sz w:val="28"/>
          <w:szCs w:val="28"/>
          <w:shd w:val="clear" w:fill="FFFFFF"/>
        </w:rPr>
        <w:t>二、部门构成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宋体" w:hAnsi="宋体" w:eastAsia="宋体" w:cs="宋体"/>
          <w:b w:val="0"/>
          <w:bCs w:val="0"/>
          <w:i w:val="0"/>
          <w:iCs w:val="0"/>
          <w:caps w:val="0"/>
          <w:color w:val="000000"/>
          <w:spacing w:val="0"/>
          <w:sz w:val="28"/>
          <w:szCs w:val="28"/>
          <w:shd w:val="clear" w:fill="FFFFFF"/>
        </w:rPr>
      </w:pPr>
      <w:r>
        <w:rPr>
          <w:rFonts w:hint="default" w:ascii="宋体" w:hAnsi="宋体" w:eastAsia="宋体" w:cs="宋体"/>
          <w:b w:val="0"/>
          <w:bCs w:val="0"/>
          <w:i w:val="0"/>
          <w:iCs w:val="0"/>
          <w:caps w:val="0"/>
          <w:color w:val="000000"/>
          <w:spacing w:val="0"/>
          <w:sz w:val="28"/>
          <w:szCs w:val="28"/>
          <w:shd w:val="clear" w:fill="FFFFFF"/>
        </w:rPr>
        <w:t>市残联机关内设5个职能科(室)：办公室、康复科、组织联络科、宣文科、维权科。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宋体" w:hAnsi="宋体" w:eastAsia="宋体" w:cs="宋体"/>
          <w:b w:val="0"/>
          <w:bCs w:val="0"/>
          <w:i w:val="0"/>
          <w:iCs w:val="0"/>
          <w:caps w:val="0"/>
          <w:color w:val="000000"/>
          <w:spacing w:val="0"/>
          <w:sz w:val="28"/>
          <w:szCs w:val="28"/>
          <w:shd w:val="clear" w:fill="FFFFFF"/>
        </w:rPr>
      </w:pPr>
      <w:r>
        <w:rPr>
          <w:rFonts w:hint="default" w:ascii="宋体" w:hAnsi="宋体" w:eastAsia="宋体" w:cs="宋体"/>
          <w:b w:val="0"/>
          <w:bCs w:val="0"/>
          <w:i w:val="0"/>
          <w:iCs w:val="0"/>
          <w:caps w:val="0"/>
          <w:color w:val="000000"/>
          <w:spacing w:val="0"/>
          <w:sz w:val="28"/>
          <w:szCs w:val="28"/>
          <w:shd w:val="clear" w:fill="FFFFFF"/>
        </w:rPr>
        <w:t>基层一个事业单位：大同市残疾人服务指导中心。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宋体" w:hAnsi="宋体" w:eastAsia="宋体" w:cs="宋体"/>
          <w:b w:val="0"/>
          <w:bCs w:val="0"/>
          <w:i w:val="0"/>
          <w:iCs w:val="0"/>
          <w:caps w:val="0"/>
          <w:color w:val="000000"/>
          <w:spacing w:val="0"/>
          <w:sz w:val="28"/>
          <w:szCs w:val="28"/>
          <w:shd w:val="clear" w:fill="FFFFFF"/>
        </w:rPr>
      </w:pPr>
      <w:r>
        <w:rPr>
          <w:rFonts w:hint="eastAsia" w:ascii="宋体" w:hAnsi="宋体" w:eastAsia="宋体" w:cs="宋体"/>
          <w:b w:val="0"/>
          <w:bCs w:val="0"/>
          <w:i w:val="0"/>
          <w:iCs w:val="0"/>
          <w:caps w:val="0"/>
          <w:color w:val="000000"/>
          <w:spacing w:val="0"/>
          <w:sz w:val="28"/>
          <w:szCs w:val="28"/>
          <w:shd w:val="clear" w:fill="FFFFFF"/>
        </w:rPr>
        <w:t>三、部门预算单位构成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宋体" w:hAnsi="宋体" w:eastAsia="宋体" w:cs="宋体"/>
          <w:b w:val="0"/>
          <w:bCs w:val="0"/>
          <w:i w:val="0"/>
          <w:iCs w:val="0"/>
          <w:caps w:val="0"/>
          <w:color w:val="000000"/>
          <w:spacing w:val="0"/>
          <w:sz w:val="28"/>
          <w:szCs w:val="28"/>
          <w:shd w:val="clear" w:fill="FFFFFF"/>
        </w:rPr>
      </w:pPr>
      <w:r>
        <w:rPr>
          <w:rFonts w:hint="default" w:ascii="宋体" w:hAnsi="宋体" w:eastAsia="宋体" w:cs="宋体"/>
          <w:b w:val="0"/>
          <w:bCs w:val="0"/>
          <w:i w:val="0"/>
          <w:iCs w:val="0"/>
          <w:caps w:val="0"/>
          <w:color w:val="000000"/>
          <w:spacing w:val="0"/>
          <w:sz w:val="28"/>
          <w:szCs w:val="28"/>
          <w:shd w:val="clear" w:fill="FFFFFF"/>
        </w:rPr>
        <w:t>部门预算由大同市残疾人联合会及一个直属事业单位构成。</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left"/>
        <w:rPr>
          <w:rFonts w:hint="eastAsia" w:ascii="宋体" w:hAnsi="宋体" w:eastAsia="宋体" w:cs="宋体"/>
          <w:i w:val="0"/>
          <w:iCs w:val="0"/>
          <w:caps w:val="0"/>
          <w:color w:val="333333"/>
          <w:spacing w:val="0"/>
          <w:sz w:val="32"/>
          <w:szCs w:val="32"/>
          <w:bdr w:val="none" w:color="auto" w:sz="0" w:space="0"/>
          <w:shd w:val="clear" w:fill="FFFFFF"/>
        </w:rPr>
      </w:pPr>
      <w:r>
        <w:rPr>
          <w:rFonts w:hint="eastAsia" w:ascii="宋体" w:hAnsi="宋体" w:eastAsia="宋体" w:cs="宋体"/>
          <w:i w:val="0"/>
          <w:iCs w:val="0"/>
          <w:caps w:val="0"/>
          <w:color w:val="333333"/>
          <w:spacing w:val="0"/>
          <w:sz w:val="32"/>
          <w:szCs w:val="32"/>
          <w:bdr w:val="none" w:color="auto" w:sz="0" w:space="0"/>
          <w:shd w:val="clear" w:fill="FFFFFF"/>
        </w:rPr>
        <w:t>  </w:t>
      </w:r>
    </w:p>
    <w:p>
      <w:pPr>
        <w:rPr>
          <w:rFonts w:hint="eastAsia" w:ascii="宋体" w:hAnsi="宋体" w:eastAsia="宋体" w:cs="宋体"/>
          <w:i w:val="0"/>
          <w:iCs w:val="0"/>
          <w:caps w:val="0"/>
          <w:color w:val="333333"/>
          <w:spacing w:val="0"/>
          <w:sz w:val="32"/>
          <w:szCs w:val="32"/>
          <w:bdr w:val="none" w:color="auto" w:sz="0" w:space="0"/>
          <w:shd w:val="clear" w:fill="FFFFFF"/>
        </w:rPr>
      </w:pPr>
    </w:p>
    <w:p>
      <w:pPr>
        <w:pStyle w:val="2"/>
        <w:rPr>
          <w:rFonts w:hint="eastAsia" w:ascii="宋体" w:hAnsi="宋体" w:eastAsia="宋体" w:cs="宋体"/>
          <w:i w:val="0"/>
          <w:iCs w:val="0"/>
          <w:caps w:val="0"/>
          <w:color w:val="333333"/>
          <w:spacing w:val="0"/>
          <w:sz w:val="32"/>
          <w:szCs w:val="32"/>
          <w:bdr w:val="none" w:color="auto" w:sz="0" w:space="0"/>
          <w:shd w:val="clear" w:fill="FFFFFF"/>
        </w:rPr>
      </w:pPr>
    </w:p>
    <w:p>
      <w:pPr>
        <w:pStyle w:val="4"/>
        <w:rPr>
          <w:rFonts w:hint="eastAsia" w:ascii="宋体" w:hAnsi="宋体" w:eastAsia="宋体" w:cs="宋体"/>
          <w:i w:val="0"/>
          <w:iCs w:val="0"/>
          <w:caps w:val="0"/>
          <w:color w:val="333333"/>
          <w:spacing w:val="0"/>
          <w:sz w:val="32"/>
          <w:szCs w:val="32"/>
          <w:bdr w:val="none" w:color="auto" w:sz="0" w:space="0"/>
          <w:shd w:val="clear" w:fill="FFFFFF"/>
        </w:rPr>
      </w:pPr>
    </w:p>
    <w:p>
      <w:pPr>
        <w:rPr>
          <w:rFonts w:hint="eastAsia" w:ascii="宋体" w:hAnsi="宋体" w:eastAsia="宋体" w:cs="宋体"/>
          <w:i w:val="0"/>
          <w:iCs w:val="0"/>
          <w:caps w:val="0"/>
          <w:color w:val="333333"/>
          <w:spacing w:val="0"/>
          <w:sz w:val="32"/>
          <w:szCs w:val="32"/>
          <w:bdr w:val="none" w:color="auto" w:sz="0" w:space="0"/>
          <w:shd w:val="clear" w:fill="FFFFFF"/>
        </w:rPr>
      </w:pPr>
    </w:p>
    <w:p>
      <w:pPr>
        <w:pStyle w:val="2"/>
        <w:rPr>
          <w:rFonts w:hint="eastAsia" w:ascii="宋体" w:hAnsi="宋体" w:eastAsia="宋体" w:cs="宋体"/>
          <w:i w:val="0"/>
          <w:iCs w:val="0"/>
          <w:caps w:val="0"/>
          <w:color w:val="333333"/>
          <w:spacing w:val="0"/>
          <w:sz w:val="32"/>
          <w:szCs w:val="32"/>
          <w:bdr w:val="none" w:color="auto" w:sz="0" w:space="0"/>
          <w:shd w:val="clear" w:fill="FFFFFF"/>
        </w:rPr>
      </w:pPr>
    </w:p>
    <w:p>
      <w:pPr>
        <w:pStyle w:val="4"/>
        <w:rPr>
          <w:rFonts w:hint="eastAsia" w:ascii="宋体" w:hAnsi="宋体" w:eastAsia="宋体" w:cs="宋体"/>
          <w:i w:val="0"/>
          <w:iCs w:val="0"/>
          <w:caps w:val="0"/>
          <w:color w:val="333333"/>
          <w:spacing w:val="0"/>
          <w:sz w:val="32"/>
          <w:szCs w:val="32"/>
          <w:bdr w:val="none" w:color="auto" w:sz="0" w:space="0"/>
          <w:shd w:val="clear" w:fill="FFFFFF"/>
        </w:rPr>
        <w:sectPr>
          <w:pgSz w:w="11906" w:h="16838"/>
          <w:pgMar w:top="1440" w:right="1800" w:bottom="1440" w:left="1800" w:header="851" w:footer="992" w:gutter="0"/>
          <w:cols w:space="425" w:num="1"/>
          <w:docGrid w:type="lines" w:linePitch="312" w:charSpace="0"/>
        </w:sectPr>
      </w:pPr>
    </w:p>
    <w:p>
      <w:pPr>
        <w:rPr>
          <w:rFonts w:hint="eastAsia"/>
        </w:rPr>
      </w:pPr>
    </w:p>
    <w:p>
      <w:pPr>
        <w:rPr>
          <w:rFonts w:hint="eastAsia" w:ascii="宋体" w:hAnsi="宋体" w:eastAsia="宋体" w:cs="宋体"/>
          <w:i w:val="0"/>
          <w:iCs w:val="0"/>
          <w:caps w:val="0"/>
          <w:color w:val="333333"/>
          <w:spacing w:val="0"/>
          <w:sz w:val="32"/>
          <w:szCs w:val="32"/>
          <w:bdr w:val="none" w:color="auto" w:sz="0" w:space="0"/>
          <w:shd w:val="clear" w:fill="FFFFFF"/>
        </w:rPr>
      </w:pPr>
    </w:p>
    <w:p>
      <w:pPr>
        <w:pStyle w:val="2"/>
        <w:rPr>
          <w:rFonts w:hint="eastAsia"/>
        </w:rPr>
      </w:pPr>
    </w:p>
    <w:p>
      <w:pPr>
        <w:pStyle w:val="2"/>
        <w:rPr>
          <w:rFonts w:hint="default"/>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bdr w:val="none" w:color="auto" w:sz="0" w:space="0"/>
          <w:shd w:val="clear" w:fill="FFFFFF"/>
        </w:rPr>
        <w:t>第二部分2022年度部门预算报表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一、2022年部门预算收支总表</w:t>
      </w:r>
    </w:p>
    <w:tbl>
      <w:tblPr>
        <w:tblW w:w="149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4194"/>
        <w:gridCol w:w="3181"/>
        <w:gridCol w:w="3847"/>
        <w:gridCol w:w="3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4194"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0805" w:type="dxa"/>
            <w:gridSpan w:val="3"/>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14999" w:type="dxa"/>
            <w:gridSpan w:val="4"/>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7375" w:type="dxa"/>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部门:[122]大同市残疾人联合会[部门] , [122001]大同市残疾人联合会 , [122002]大同市残疾人服务指导中心</w:t>
            </w:r>
          </w:p>
        </w:tc>
        <w:tc>
          <w:tcPr>
            <w:tcW w:w="7624" w:type="dxa"/>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7375" w:type="dxa"/>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收入</w:t>
            </w:r>
          </w:p>
        </w:tc>
        <w:tc>
          <w:tcPr>
            <w:tcW w:w="7624" w:type="dxa"/>
            <w:gridSpan w:val="2"/>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2022年</w:t>
            </w:r>
          </w:p>
        </w:tc>
        <w:tc>
          <w:tcPr>
            <w:tcW w:w="3847"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3777"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一、一般公共预算</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一般公共服务支出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二、政府性基金预算</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外交支出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三、国有资本经营预算</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国防支出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四、财政专户管理资金</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公共安全支出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五、单位资金</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教育支出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科学技术支出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文化旅游体育与传媒支出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社会保障和就业支出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社会保险基金支出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卫生健康支出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节能环保支出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城乡社区支出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农林水支出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交通运输支出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资源勘探工业信息等支出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商业服务业等支出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金融支出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援助其他地区支出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自然资源海洋气象等支出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住房保障支出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粮油物资储备支出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国有资本经营预算支出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灾害防治及应急管理支出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预备费</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其他支出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转移性支出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债务还本支出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债务付息支出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债务发行费用支出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抗疫特别国债安排的支出</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4194"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本年收入合计</w:t>
            </w:r>
          </w:p>
        </w:tc>
        <w:tc>
          <w:tcPr>
            <w:tcW w:w="318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384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本年支出合计</w:t>
            </w:r>
          </w:p>
        </w:tc>
        <w:tc>
          <w:tcPr>
            <w:tcW w:w="377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keepNext w:val="0"/>
        <w:keepLines w:val="0"/>
        <w:widowControl/>
        <w:suppressLineNumbers w:val="0"/>
        <w:jc w:val="left"/>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二、2022年部门预算收入总表</w:t>
      </w:r>
    </w:p>
    <w:tbl>
      <w:tblPr>
        <w:tblW w:w="148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972"/>
        <w:gridCol w:w="5921"/>
        <w:gridCol w:w="2307"/>
        <w:gridCol w:w="1837"/>
        <w:gridCol w:w="710"/>
        <w:gridCol w:w="710"/>
        <w:gridCol w:w="710"/>
        <w:gridCol w:w="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19" w:hRule="atLeast"/>
        </w:trPr>
        <w:tc>
          <w:tcPr>
            <w:tcW w:w="1972"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21"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30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3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40" w:type="dxa"/>
            <w:gridSpan w:val="4"/>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14877" w:type="dxa"/>
            <w:gridSpan w:val="8"/>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972"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21"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30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3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40" w:type="dxa"/>
            <w:gridSpan w:val="4"/>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0" w:hRule="atLeast"/>
        </w:trPr>
        <w:tc>
          <w:tcPr>
            <w:tcW w:w="7893" w:type="dxa"/>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6984" w:type="dxa"/>
            <w:gridSpan w:val="6"/>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30" w:hRule="atLeast"/>
        </w:trPr>
        <w:tc>
          <w:tcPr>
            <w:tcW w:w="1972" w:type="dxa"/>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功能科目编码</w:t>
            </w:r>
          </w:p>
        </w:tc>
        <w:tc>
          <w:tcPr>
            <w:tcW w:w="592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功能科目名称</w:t>
            </w:r>
          </w:p>
        </w:tc>
        <w:tc>
          <w:tcPr>
            <w:tcW w:w="230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本年收入合计</w:t>
            </w:r>
          </w:p>
        </w:tc>
        <w:tc>
          <w:tcPr>
            <w:tcW w:w="183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一般公共预算</w:t>
            </w:r>
          </w:p>
        </w:tc>
        <w:tc>
          <w:tcPr>
            <w:tcW w:w="71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政府性基金</w:t>
            </w:r>
          </w:p>
        </w:tc>
        <w:tc>
          <w:tcPr>
            <w:tcW w:w="71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国有资本经营预算</w:t>
            </w:r>
          </w:p>
        </w:tc>
        <w:tc>
          <w:tcPr>
            <w:tcW w:w="71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财政专户管理资金</w:t>
            </w:r>
          </w:p>
        </w:tc>
        <w:tc>
          <w:tcPr>
            <w:tcW w:w="71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合计</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1,551.26</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1,551.26</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208</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[208]社会保障和就业支出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1,504.81</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1,504.81</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20805</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[20805]行政事业单位养老支出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6"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[2080501]行政单位离退休</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2"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2080502</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[2080502]事业单位离退休</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2080505</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[2080505]机关事业单位基本养老保险缴费支出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20811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[20811]残疾人事业</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1,454.03</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1,454.03</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2081101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[2081101]行政运行</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2081199</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[2081199]其他残疾人事业支出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1,311.37</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1,311.37</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210</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[210]卫生健康支出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21011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[21011]行政事业单位医疗</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2101101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[2101101]行政单位医疗</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2101102</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[2101102]事业单位医疗</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[221]住房保障支出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22102</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[22102]住房改革支出</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4"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2210201</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[2210201]住房公积金</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5" w:hRule="atLeast"/>
        </w:trPr>
        <w:tc>
          <w:tcPr>
            <w:tcW w:w="197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2210202</w:t>
            </w:r>
          </w:p>
        </w:tc>
        <w:tc>
          <w:tcPr>
            <w:tcW w:w="592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[2210202]提租补贴</w:t>
            </w:r>
          </w:p>
        </w:tc>
        <w:tc>
          <w:tcPr>
            <w:tcW w:w="230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1837"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三、2022年部门预算支出总表</w:t>
      </w:r>
    </w:p>
    <w:tbl>
      <w:tblPr>
        <w:tblW w:w="149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106"/>
        <w:gridCol w:w="6899"/>
        <w:gridCol w:w="2125"/>
        <w:gridCol w:w="1894"/>
        <w:gridCol w:w="19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37" w:hRule="atLeast"/>
        </w:trPr>
        <w:tc>
          <w:tcPr>
            <w:tcW w:w="2106"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9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25"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48" w:type="dxa"/>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4" w:hRule="atLeast"/>
        </w:trPr>
        <w:tc>
          <w:tcPr>
            <w:tcW w:w="14978" w:type="dxa"/>
            <w:gridSpan w:val="5"/>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106"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9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25"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94"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54"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9005" w:type="dxa"/>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5973" w:type="dxa"/>
            <w:gridSpan w:val="3"/>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科目编码</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科目名称</w:t>
            </w:r>
          </w:p>
        </w:tc>
        <w:tc>
          <w:tcPr>
            <w:tcW w:w="2125"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合计</w:t>
            </w:r>
          </w:p>
        </w:tc>
        <w:tc>
          <w:tcPr>
            <w:tcW w:w="1894"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基本支出</w:t>
            </w:r>
          </w:p>
        </w:tc>
        <w:tc>
          <w:tcPr>
            <w:tcW w:w="1954"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合计</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1,551.26</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323.26</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[208]社会保障和就业支出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1,504.81</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276.81</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[20805]行政事业单位养老支出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2080501</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[2080501]行政单位离退休</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2080502</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[2080502]事业单位离退休</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2080505</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[2080505]机关事业单位基本养老保险缴费支出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[20811]残疾人事业</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1,454.03</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226.03</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2081101</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[2081101]行政运行</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2081199</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[2081199]其他残疾人事业支出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1,311.37</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83.37</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[210]卫生健康支出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210</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[21011]行政事业单位医疗</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2101101</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[2101101]行政单位医疗</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2101102</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[2101102]事业单位医疗</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[221]住房保障支出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6"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221</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[22102]住房改革支出</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14"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2210201</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[2210201]住房公积金</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8" w:hRule="atLeast"/>
        </w:trPr>
        <w:tc>
          <w:tcPr>
            <w:tcW w:w="210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2210202</w:t>
            </w:r>
          </w:p>
        </w:tc>
        <w:tc>
          <w:tcPr>
            <w:tcW w:w="689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[2210202]提租补贴</w:t>
            </w:r>
          </w:p>
        </w:tc>
        <w:tc>
          <w:tcPr>
            <w:tcW w:w="2125"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189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195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四、2022年财政拨款收支总表</w:t>
      </w:r>
    </w:p>
    <w:tbl>
      <w:tblPr>
        <w:tblW w:w="148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929"/>
        <w:gridCol w:w="1710"/>
        <w:gridCol w:w="2860"/>
        <w:gridCol w:w="1696"/>
        <w:gridCol w:w="1829"/>
        <w:gridCol w:w="1909"/>
        <w:gridCol w:w="19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292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96"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813" w:type="dxa"/>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0" w:hRule="atLeast"/>
        </w:trPr>
        <w:tc>
          <w:tcPr>
            <w:tcW w:w="14837" w:type="dxa"/>
            <w:gridSpan w:val="7"/>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292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96"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4639" w:type="dxa"/>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收入</w:t>
            </w:r>
          </w:p>
        </w:tc>
        <w:tc>
          <w:tcPr>
            <w:tcW w:w="10198" w:type="dxa"/>
            <w:gridSpan w:val="5"/>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vMerge w:val="restar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w:t>
            </w:r>
          </w:p>
        </w:tc>
        <w:tc>
          <w:tcPr>
            <w:tcW w:w="1710" w:type="dxa"/>
            <w:vMerge w:val="restar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金额</w:t>
            </w:r>
          </w:p>
        </w:tc>
        <w:tc>
          <w:tcPr>
            <w:tcW w:w="2860" w:type="dxa"/>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w:t>
            </w:r>
          </w:p>
        </w:tc>
        <w:tc>
          <w:tcPr>
            <w:tcW w:w="7338" w:type="dxa"/>
            <w:gridSpan w:val="4"/>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vMerge w:val="continue"/>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1710" w:type="dxa"/>
            <w:vMerge w:val="continue"/>
            <w:tcBorders>
              <w:top w:val="nil"/>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2860" w:type="dxa"/>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小计</w:t>
            </w:r>
          </w:p>
        </w:tc>
        <w:tc>
          <w:tcPr>
            <w:tcW w:w="1829"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一般公共预算</w:t>
            </w:r>
          </w:p>
        </w:tc>
        <w:tc>
          <w:tcPr>
            <w:tcW w:w="1909"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政府性基金</w:t>
            </w:r>
          </w:p>
        </w:tc>
        <w:tc>
          <w:tcPr>
            <w:tcW w:w="1904" w:type="dxa"/>
            <w:tcBorders>
              <w:top w:val="single" w:color="000000" w:sz="8" w:space="0"/>
              <w:left w:val="nil"/>
              <w:bottom w:val="single" w:color="000000" w:sz="8" w:space="0"/>
              <w:right w:val="single" w:color="000000" w:sz="8" w:space="0"/>
            </w:tcBorders>
            <w:shd w:val="clear"/>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ottom"/>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一、一般公共预算</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一般公共服务支出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二、政府性基金预算</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外交支出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三、国有资本经营预算</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国防支出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公共安全支出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教育支出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科学技术支出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文化旅游体育与传媒支出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社会保障和就业支出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1,504.81</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1,504.81</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社会保险基金支出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卫生健康支出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12.69</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12.69</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节能环保支出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城乡社区支出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农林水支出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交通运输支出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资源勘探工业信息等支出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商业服务业等支出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金融支出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援助其他地区支出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自然资源海洋气象等支出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住房保障支出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33.77</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33.77</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粮油物资储备支出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国有资本经营预算支出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灾害防治及应急管理支出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预备费</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其他支出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转移性支出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债务还本支出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债务付息支出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债务发行费用支出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抗疫特别国债安排的支出</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292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本年收入合计</w:t>
            </w:r>
          </w:p>
        </w:tc>
        <w:tc>
          <w:tcPr>
            <w:tcW w:w="171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2860"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本年支出合计</w:t>
            </w:r>
          </w:p>
        </w:tc>
        <w:tc>
          <w:tcPr>
            <w:tcW w:w="169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182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1,551.26</w:t>
            </w:r>
          </w:p>
        </w:tc>
        <w:tc>
          <w:tcPr>
            <w:tcW w:w="1909"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04"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五、2022年一般公共预算支出预算表</w:t>
      </w:r>
    </w:p>
    <w:tbl>
      <w:tblPr>
        <w:tblW w:w="151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037"/>
        <w:gridCol w:w="3216"/>
        <w:gridCol w:w="2152"/>
        <w:gridCol w:w="1761"/>
        <w:gridCol w:w="20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1" w:hRule="atLeast"/>
        </w:trPr>
        <w:tc>
          <w:tcPr>
            <w:tcW w:w="603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9162" w:type="dxa"/>
            <w:gridSpan w:val="4"/>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72" w:hRule="atLeast"/>
        </w:trPr>
        <w:tc>
          <w:tcPr>
            <w:tcW w:w="15199" w:type="dxa"/>
            <w:gridSpan w:val="5"/>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6" w:hRule="atLeast"/>
        </w:trPr>
        <w:tc>
          <w:tcPr>
            <w:tcW w:w="6037" w:type="dxa"/>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部门:[122]大同市残疾人联合会[部门] , [122001]大同市残疾人联合会 , [122002]大同市残疾人服务指导中心</w:t>
            </w:r>
          </w:p>
        </w:tc>
        <w:tc>
          <w:tcPr>
            <w:tcW w:w="9162" w:type="dxa"/>
            <w:gridSpan w:val="4"/>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9253" w:type="dxa"/>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w:t>
            </w:r>
          </w:p>
        </w:tc>
        <w:tc>
          <w:tcPr>
            <w:tcW w:w="5946" w:type="dxa"/>
            <w:gridSpan w:val="3"/>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科目编码</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科目名称</w:t>
            </w:r>
          </w:p>
        </w:tc>
        <w:tc>
          <w:tcPr>
            <w:tcW w:w="2152"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合计</w:t>
            </w:r>
          </w:p>
        </w:tc>
        <w:tc>
          <w:tcPr>
            <w:tcW w:w="1761"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基本支出</w:t>
            </w:r>
          </w:p>
        </w:tc>
        <w:tc>
          <w:tcPr>
            <w:tcW w:w="2033" w:type="dxa"/>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合计</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1,551.26</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323.26</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[208]社会保障和就业支出</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1,504.81</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276.81</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[20805]行政事业单位养老支出</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50.78</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2080501</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[2080501]行政单位离退休</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20.74</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2080502</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[2080502]事业单位离退休</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1.04</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2"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2080505</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[2080505]机关事业单位基本养老保险缴费支出</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29.00</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[20811]残疾人事业</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1,454.03</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226.03</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2081101</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[2081101]行政运行</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142.65</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2081199</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[2081199]其他残疾人事业支出</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1,311.37</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83.37</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[210]卫生健康支出</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[21011]行政事业单位医疗</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12.69</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2101101</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[2101101]行政单位医疗</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7.73</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2101102</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[2101102]事业单位医疗</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4.96</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[221]住房保障支出</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　[22102]住房改革支出</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33.77</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2210201</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[2210201]住房公积金</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30.62</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7" w:hRule="atLeast"/>
        </w:trPr>
        <w:tc>
          <w:tcPr>
            <w:tcW w:w="60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2210202</w:t>
            </w:r>
          </w:p>
        </w:tc>
        <w:tc>
          <w:tcPr>
            <w:tcW w:w="3216"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[2210202]提租补贴</w:t>
            </w:r>
          </w:p>
        </w:tc>
        <w:tc>
          <w:tcPr>
            <w:tcW w:w="2152"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1761"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3.15</w:t>
            </w:r>
          </w:p>
        </w:tc>
        <w:tc>
          <w:tcPr>
            <w:tcW w:w="2033" w:type="dxa"/>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六、2022年一般公共预算安排基本支出分经济科目表</w:t>
      </w:r>
    </w:p>
    <w:tbl>
      <w:tblPr>
        <w:tblW w:w="150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728"/>
        <w:gridCol w:w="4695"/>
        <w:gridCol w:w="46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16" w:hRule="atLeast"/>
        </w:trPr>
        <w:tc>
          <w:tcPr>
            <w:tcW w:w="190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59"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7"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60" w:hRule="atLeast"/>
        </w:trPr>
        <w:tc>
          <w:tcPr>
            <w:tcW w:w="5000" w:type="pct"/>
            <w:gridSpan w:val="3"/>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16" w:hRule="atLeast"/>
        </w:trPr>
        <w:tc>
          <w:tcPr>
            <w:tcW w:w="190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59"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7"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36" w:hRule="atLeast"/>
        </w:trPr>
        <w:tc>
          <w:tcPr>
            <w:tcW w:w="1902" w:type="pct"/>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经济科目名称</w:t>
            </w:r>
          </w:p>
        </w:tc>
        <w:tc>
          <w:tcPr>
            <w:tcW w:w="1559"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预算数</w:t>
            </w:r>
          </w:p>
        </w:tc>
        <w:tc>
          <w:tcPr>
            <w:tcW w:w="1537"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323.26</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501</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165.36</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[50101]工资奖金津补贴</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119.48</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[50102]社会保障缴费</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25.39</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[50103]住房公积金</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20.50</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502</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23.63</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[50201]办公经费</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22.80</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[50299]其他商品和服务支出</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0.83</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503</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1.40</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[50306]设备购置</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1.40</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505</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102.88</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[50501]工资福利支出</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102.88</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50502</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6.88</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[5050203]公务用车运行维护费</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1.60</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[5050299]商品和服务支出</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5.28</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509</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23.11</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4"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[50901]社会福利和救助</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2.21</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1902"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[50905]离退休费</w:t>
            </w:r>
          </w:p>
        </w:tc>
        <w:tc>
          <w:tcPr>
            <w:tcW w:w="155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20.89</w:t>
            </w:r>
          </w:p>
        </w:tc>
        <w:tc>
          <w:tcPr>
            <w:tcW w:w="1537"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七、2022年政府性基金预算收入表</w:t>
      </w:r>
    </w:p>
    <w:tbl>
      <w:tblPr>
        <w:tblW w:w="147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747"/>
        <w:gridCol w:w="6151"/>
        <w:gridCol w:w="4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7" w:hRule="atLeast"/>
        </w:trPr>
        <w:tc>
          <w:tcPr>
            <w:tcW w:w="126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081"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50"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87" w:hRule="atLeast"/>
        </w:trPr>
        <w:tc>
          <w:tcPr>
            <w:tcW w:w="5000" w:type="pct"/>
            <w:gridSpan w:val="3"/>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7" w:hRule="atLeast"/>
        </w:trPr>
        <w:tc>
          <w:tcPr>
            <w:tcW w:w="126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081"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50"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8" w:hRule="atLeast"/>
        </w:trPr>
        <w:tc>
          <w:tcPr>
            <w:tcW w:w="3349" w:type="pct"/>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1650"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8" w:hRule="atLeast"/>
        </w:trPr>
        <w:tc>
          <w:tcPr>
            <w:tcW w:w="1268"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科目编码</w:t>
            </w:r>
          </w:p>
        </w:tc>
        <w:tc>
          <w:tcPr>
            <w:tcW w:w="2081"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科目名称</w:t>
            </w:r>
          </w:p>
        </w:tc>
        <w:tc>
          <w:tcPr>
            <w:tcW w:w="1650"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9" w:hRule="atLeast"/>
        </w:trPr>
        <w:tc>
          <w:tcPr>
            <w:tcW w:w="1268"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081"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50"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八、2022年政府性基金预算支出表</w:t>
      </w:r>
    </w:p>
    <w:tbl>
      <w:tblPr>
        <w:tblW w:w="149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159"/>
        <w:gridCol w:w="7235"/>
        <w:gridCol w:w="4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38" w:hRule="atLeast"/>
        </w:trPr>
        <w:tc>
          <w:tcPr>
            <w:tcW w:w="1053" w:type="pct"/>
            <w:tcBorders>
              <w:top w:val="nil"/>
              <w:left w:val="nil"/>
              <w:bottom w:val="nil"/>
              <w:right w:val="nil"/>
            </w:tcBorders>
            <w:shd w:val="clear"/>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11"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4"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7" w:hRule="atLeast"/>
        </w:trPr>
        <w:tc>
          <w:tcPr>
            <w:tcW w:w="5000" w:type="pct"/>
            <w:gridSpan w:val="3"/>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 w:hRule="atLeast"/>
        </w:trPr>
        <w:tc>
          <w:tcPr>
            <w:tcW w:w="1053"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11"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4"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3465" w:type="pct"/>
            <w:gridSpan w:val="2"/>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w:t>
            </w:r>
          </w:p>
        </w:tc>
        <w:tc>
          <w:tcPr>
            <w:tcW w:w="1534"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1053"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科目编码</w:t>
            </w:r>
          </w:p>
        </w:tc>
        <w:tc>
          <w:tcPr>
            <w:tcW w:w="2411"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科目名称</w:t>
            </w:r>
          </w:p>
        </w:tc>
        <w:tc>
          <w:tcPr>
            <w:tcW w:w="1534"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0" w:hRule="atLeast"/>
        </w:trPr>
        <w:tc>
          <w:tcPr>
            <w:tcW w:w="1053"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11"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2" w:hRule="atLeast"/>
        </w:trPr>
        <w:tc>
          <w:tcPr>
            <w:tcW w:w="1053"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11"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3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九、2022年国有资本经营预算收支预算表</w:t>
      </w:r>
    </w:p>
    <w:tbl>
      <w:tblPr>
        <w:tblW w:w="151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445"/>
        <w:gridCol w:w="2667"/>
        <w:gridCol w:w="1962"/>
        <w:gridCol w:w="1608"/>
        <w:gridCol w:w="2437"/>
        <w:gridCol w:w="1660"/>
        <w:gridCol w:w="1660"/>
        <w:gridCol w:w="16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56" w:hRule="atLeast"/>
        </w:trPr>
        <w:tc>
          <w:tcPr>
            <w:tcW w:w="47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8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4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3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06"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49"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02" w:type="pct"/>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3" w:hRule="atLeast"/>
        </w:trPr>
        <w:tc>
          <w:tcPr>
            <w:tcW w:w="5000" w:type="pct"/>
            <w:gridSpan w:val="8"/>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6" w:hRule="atLeast"/>
        </w:trPr>
        <w:tc>
          <w:tcPr>
            <w:tcW w:w="47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8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48"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3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06"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49"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02" w:type="pct"/>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7" w:hRule="atLeast"/>
        </w:trPr>
        <w:tc>
          <w:tcPr>
            <w:tcW w:w="2009" w:type="pct"/>
            <w:gridSpan w:val="3"/>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国有资本经营预算收入</w:t>
            </w:r>
          </w:p>
        </w:tc>
        <w:tc>
          <w:tcPr>
            <w:tcW w:w="2990" w:type="pct"/>
            <w:gridSpan w:val="5"/>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7" w:hRule="atLeast"/>
        </w:trPr>
        <w:tc>
          <w:tcPr>
            <w:tcW w:w="1360" w:type="pct"/>
            <w:gridSpan w:val="2"/>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w:t>
            </w:r>
          </w:p>
        </w:tc>
        <w:tc>
          <w:tcPr>
            <w:tcW w:w="648" w:type="pct"/>
            <w:vMerge w:val="restar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国有资本经营收入预算</w:t>
            </w:r>
          </w:p>
        </w:tc>
        <w:tc>
          <w:tcPr>
            <w:tcW w:w="532"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科目编码</w:t>
            </w:r>
          </w:p>
        </w:tc>
        <w:tc>
          <w:tcPr>
            <w:tcW w:w="806"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科目名称</w:t>
            </w:r>
          </w:p>
        </w:tc>
        <w:tc>
          <w:tcPr>
            <w:tcW w:w="549"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合计</w:t>
            </w:r>
          </w:p>
        </w:tc>
        <w:tc>
          <w:tcPr>
            <w:tcW w:w="549"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基本支出</w:t>
            </w:r>
          </w:p>
        </w:tc>
        <w:tc>
          <w:tcPr>
            <w:tcW w:w="553" w:type="pct"/>
            <w:vMerge w:val="restar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7" w:hRule="atLeast"/>
        </w:trPr>
        <w:tc>
          <w:tcPr>
            <w:tcW w:w="478"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科目编码</w:t>
            </w:r>
          </w:p>
        </w:tc>
        <w:tc>
          <w:tcPr>
            <w:tcW w:w="882"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科目名称</w:t>
            </w:r>
          </w:p>
        </w:tc>
        <w:tc>
          <w:tcPr>
            <w:tcW w:w="648" w:type="pct"/>
            <w:vMerge w:val="continue"/>
            <w:tcBorders>
              <w:top w:val="nil"/>
              <w:left w:val="nil"/>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532"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806"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549"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549"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c>
          <w:tcPr>
            <w:tcW w:w="553" w:type="pct"/>
            <w:vMerge w:val="continue"/>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rPr>
                <w:rFonts w:hint="default" w:ascii="Times New Roman" w:hAnsi="Times New Roman" w:cs="Times New Roman"/>
                <w:i w:val="0"/>
                <w:iCs w:val="0"/>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0" w:hRule="atLeast"/>
        </w:trPr>
        <w:tc>
          <w:tcPr>
            <w:tcW w:w="478"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82"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48"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32"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06"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4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49"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53"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十、2022年“三公”经费支出表</w:t>
      </w:r>
    </w:p>
    <w:tbl>
      <w:tblPr>
        <w:tblW w:w="149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145"/>
        <w:gridCol w:w="78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0" w:hRule="atLeast"/>
        </w:trPr>
        <w:tc>
          <w:tcPr>
            <w:tcW w:w="2385"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614"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40" w:hRule="atLeast"/>
        </w:trPr>
        <w:tc>
          <w:tcPr>
            <w:tcW w:w="5000" w:type="pct"/>
            <w:gridSpan w:val="2"/>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0" w:hRule="atLeast"/>
        </w:trPr>
        <w:tc>
          <w:tcPr>
            <w:tcW w:w="2385"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614"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项目</w:t>
            </w:r>
          </w:p>
        </w:tc>
        <w:tc>
          <w:tcPr>
            <w:tcW w:w="2614"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因公出国（境）费</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公务接待费</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公务用车购置及运行费</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 ①公务用车购置费</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 ②公务用车运行维护费</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25" w:hRule="atLeast"/>
        </w:trPr>
        <w:tc>
          <w:tcPr>
            <w:tcW w:w="2385"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合计</w:t>
            </w:r>
          </w:p>
        </w:tc>
        <w:tc>
          <w:tcPr>
            <w:tcW w:w="2614"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3.20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十一、2022年机关运行经费预算财政拨款情况表</w:t>
      </w:r>
    </w:p>
    <w:tbl>
      <w:tblPr>
        <w:tblW w:w="529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002"/>
        <w:gridCol w:w="6156"/>
        <w:gridCol w:w="5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29" w:hRule="atLeast"/>
        </w:trPr>
        <w:tc>
          <w:tcPr>
            <w:tcW w:w="1001" w:type="pct"/>
            <w:tcBorders>
              <w:top w:val="nil"/>
              <w:left w:val="nil"/>
              <w:bottom w:val="nil"/>
              <w:right w:val="nil"/>
            </w:tcBorders>
            <w:shd w:val="clear"/>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05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46"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91" w:hRule="atLeast"/>
        </w:trPr>
        <w:tc>
          <w:tcPr>
            <w:tcW w:w="5000" w:type="pct"/>
            <w:gridSpan w:val="3"/>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9" w:hRule="atLeast"/>
        </w:trPr>
        <w:tc>
          <w:tcPr>
            <w:tcW w:w="1001" w:type="pct"/>
            <w:tcBorders>
              <w:top w:val="nil"/>
              <w:left w:val="nil"/>
              <w:bottom w:val="nil"/>
              <w:right w:val="nil"/>
            </w:tcBorders>
            <w:shd w:val="clear"/>
            <w:noWrap/>
            <w:tcMar>
              <w:left w:w="108" w:type="dxa"/>
              <w:right w:w="108" w:type="dxa"/>
            </w:tcMar>
            <w:vAlign w:val="bottom"/>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052"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46" w:type="pct"/>
            <w:tcBorders>
              <w:top w:val="nil"/>
              <w:left w:val="nil"/>
              <w:bottom w:val="nil"/>
              <w:right w:val="nil"/>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 w:hRule="atLeast"/>
        </w:trPr>
        <w:tc>
          <w:tcPr>
            <w:tcW w:w="1001" w:type="pct"/>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单位编码</w:t>
            </w:r>
          </w:p>
        </w:tc>
        <w:tc>
          <w:tcPr>
            <w:tcW w:w="2052"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单位名称</w:t>
            </w:r>
          </w:p>
        </w:tc>
        <w:tc>
          <w:tcPr>
            <w:tcW w:w="1946"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 w:hRule="atLeast"/>
        </w:trPr>
        <w:tc>
          <w:tcPr>
            <w:tcW w:w="1001"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合计</w:t>
            </w:r>
          </w:p>
        </w:tc>
        <w:tc>
          <w:tcPr>
            <w:tcW w:w="2052"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46" w:type="pct"/>
            <w:tcBorders>
              <w:top w:val="nil"/>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20"/>
                <w:szCs w:val="20"/>
                <w:bdr w:val="none" w:color="auto" w:sz="0" w:space="0"/>
              </w:rPr>
              <w:t>31.90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 w:hRule="atLeast"/>
        </w:trPr>
        <w:tc>
          <w:tcPr>
            <w:tcW w:w="1001" w:type="pct"/>
            <w:tcBorders>
              <w:top w:val="nil"/>
              <w:left w:val="single" w:color="000000" w:sz="8" w:space="0"/>
              <w:bottom w:val="nil"/>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122001</w:t>
            </w:r>
          </w:p>
        </w:tc>
        <w:tc>
          <w:tcPr>
            <w:tcW w:w="2052" w:type="pct"/>
            <w:tcBorders>
              <w:top w:val="nil"/>
              <w:left w:val="nil"/>
              <w:bottom w:val="nil"/>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[122001]大同市残疾人联合会</w:t>
            </w:r>
          </w:p>
        </w:tc>
        <w:tc>
          <w:tcPr>
            <w:tcW w:w="1946" w:type="pct"/>
            <w:tcBorders>
              <w:top w:val="nil"/>
              <w:left w:val="nil"/>
              <w:bottom w:val="nil"/>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1" w:hRule="atLeast"/>
        </w:trPr>
        <w:tc>
          <w:tcPr>
            <w:tcW w:w="1001" w:type="pct"/>
            <w:tcBorders>
              <w:top w:val="single" w:color="000000" w:sz="8" w:space="0"/>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122002</w:t>
            </w:r>
          </w:p>
        </w:tc>
        <w:tc>
          <w:tcPr>
            <w:tcW w:w="2052"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[122002]大同市残疾人服务指导中心</w:t>
            </w:r>
          </w:p>
        </w:tc>
        <w:tc>
          <w:tcPr>
            <w:tcW w:w="1946" w:type="pct"/>
            <w:tcBorders>
              <w:top w:val="single" w:color="000000" w:sz="8" w:space="0"/>
              <w:left w:val="nil"/>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6.88</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sectPr>
          <w:pgSz w:w="16838" w:h="11906" w:orient="landscape"/>
          <w:pgMar w:top="1800" w:right="1440" w:bottom="1800" w:left="1440" w:header="851" w:footer="992" w:gutter="0"/>
          <w:cols w:space="425" w:num="1"/>
          <w:docGrid w:type="lines" w:linePitch="312" w:charSpace="0"/>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黑体" w:hAnsi="宋体" w:eastAsia="黑体" w:cs="黑体"/>
          <w:b/>
          <w:bCs/>
          <w:i w:val="0"/>
          <w:iCs w:val="0"/>
          <w:caps w:val="0"/>
          <w:color w:val="000000"/>
          <w:spacing w:val="0"/>
          <w:sz w:val="32"/>
          <w:szCs w:val="32"/>
          <w:bdr w:val="none" w:color="auto" w:sz="0" w:space="0"/>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bdr w:val="none" w:color="auto" w:sz="0" w:space="0"/>
          <w:shd w:val="clear" w:fill="FFFFFF"/>
        </w:rPr>
        <w:t>第三部分2022年度部门预算情况说明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bdr w:val="none" w:color="auto" w:sz="0" w:space="0"/>
          <w:shd w:val="clear" w:fill="FFFFFF"/>
        </w:rPr>
        <w:t>一、2022年度部门预算收支情况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（一）收入预算情况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707"/>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我部门2022年收入预算1，551.26万元，比2021年减少278.75万元,同比减少15.23%，其中一般公共预算收入为1，551.26万元，减少原因为2022年无政府性基金预算。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（二）一般公共预算支出情况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我部门2022年一般公共预算支出1，551.26万元，比2021年减少278.75万元,同比减少15.23%。</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707"/>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1.2022年基本支出323.26万元，比2021年增加38.74万元，增加13.62%。基本支出系按现有人员工资标准和公用经费定额标准核定。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707"/>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其中人员经费支出291.35万元，主要包括基本工资、津贴补贴、奖金、绩效工资、机关事业单位基本养老保险缴费、</w:t>
      </w:r>
      <w:r>
        <w:rPr>
          <w:rFonts w:ascii="仿宋" w:hAnsi="仿宋" w:eastAsia="仿宋" w:cs="仿宋"/>
          <w:i w:val="0"/>
          <w:iCs w:val="0"/>
          <w:caps w:val="0"/>
          <w:color w:val="333333"/>
          <w:spacing w:val="0"/>
          <w:sz w:val="32"/>
          <w:szCs w:val="32"/>
          <w:bdr w:val="none" w:color="auto" w:sz="0" w:space="0"/>
          <w:shd w:val="clear" w:fill="FFFFFF"/>
        </w:rPr>
        <w:t>职工基本医疗保险缴费、其他社会保障缴费、住房公积金、其他工资福利支出、离休费、退休费、生活补助、奖励金；公用经费</w:t>
      </w:r>
      <w:r>
        <w:rPr>
          <w:rFonts w:hint="eastAsia" w:ascii="仿宋" w:hAnsi="仿宋" w:eastAsia="仿宋" w:cs="仿宋"/>
          <w:i w:val="0"/>
          <w:iCs w:val="0"/>
          <w:caps w:val="0"/>
          <w:color w:val="333333"/>
          <w:spacing w:val="0"/>
          <w:sz w:val="32"/>
          <w:szCs w:val="32"/>
          <w:bdr w:val="none" w:color="auto" w:sz="0" w:space="0"/>
          <w:shd w:val="clear" w:fill="FFFFFF"/>
        </w:rPr>
        <w:t>31.91万元，主要包括办公费、印刷费、邮电费、差旅费、维修（护）费、工会经费、福利费、公务用车运行维护费、其他交通费用、其他商品服务支出。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2.2022年项目支出1，228.00万元，为一般公共预算资金，比2021年项目支出减少317.49万元，减少20.54%。主要原因为2022年残疾人长江型假肢以及助残扶贫项目减少。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（三）政府性基金预算支出情况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二、“三公</w:t>
      </w:r>
      <w:r>
        <w:rPr>
          <w:rFonts w:hint="default" w:ascii="Calibri" w:hAnsi="Calibri" w:eastAsia="仿宋_GB2312" w:cs="Calibri"/>
          <w:b/>
          <w:bCs/>
          <w:i w:val="0"/>
          <w:iCs w:val="0"/>
          <w:caps w:val="0"/>
          <w:color w:val="000000"/>
          <w:spacing w:val="0"/>
          <w:sz w:val="32"/>
          <w:szCs w:val="32"/>
          <w:bdr w:val="none" w:color="auto" w:sz="0" w:space="0"/>
          <w:shd w:val="clear" w:fill="FFFFFF"/>
        </w:rPr>
        <w:t>”</w:t>
      </w:r>
      <w:r>
        <w:rPr>
          <w:rFonts w:hint="default" w:ascii="仿宋_GB2312" w:hAnsi="Calibri" w:eastAsia="仿宋_GB2312" w:cs="仿宋_GB2312"/>
          <w:b/>
          <w:bCs/>
          <w:i w:val="0"/>
          <w:iCs w:val="0"/>
          <w:caps w:val="0"/>
          <w:color w:val="000000"/>
          <w:spacing w:val="0"/>
          <w:sz w:val="32"/>
          <w:szCs w:val="32"/>
          <w:bdr w:val="none" w:color="auto" w:sz="0" w:space="0"/>
          <w:shd w:val="clear" w:fill="FFFFFF"/>
        </w:rPr>
        <w:t>经费情况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5"/>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我部门2022年</w:t>
      </w:r>
      <w:r>
        <w:rPr>
          <w:rFonts w:hint="eastAsia" w:ascii="仿宋" w:hAnsi="仿宋" w:eastAsia="仿宋" w:cs="仿宋"/>
          <w:i w:val="0"/>
          <w:iCs w:val="0"/>
          <w:caps w:val="0"/>
          <w:color w:val="333333"/>
          <w:spacing w:val="0"/>
          <w:sz w:val="32"/>
          <w:szCs w:val="32"/>
          <w:bdr w:val="none" w:color="auto" w:sz="0" w:space="0"/>
          <w:shd w:val="clear" w:fill="FFFFFF"/>
        </w:rPr>
        <w:t>一般公共预算安排的</w:t>
      </w: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“三公</w:t>
      </w:r>
      <w:r>
        <w:rPr>
          <w:rFonts w:hint="default" w:ascii="Calibri" w:hAnsi="Calibri" w:eastAsia="仿宋_GB2312" w:cs="Calibri"/>
          <w:b w:val="0"/>
          <w:bCs w:val="0"/>
          <w:i w:val="0"/>
          <w:iCs w:val="0"/>
          <w:caps w:val="0"/>
          <w:color w:val="000000"/>
          <w:spacing w:val="0"/>
          <w:sz w:val="32"/>
          <w:szCs w:val="32"/>
          <w:bdr w:val="none" w:color="auto" w:sz="0" w:space="0"/>
          <w:shd w:val="clear" w:fill="FFFFFF"/>
        </w:rPr>
        <w:t>”</w:t>
      </w: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经费预</w:t>
      </w:r>
      <w:r>
        <w:rPr>
          <w:rFonts w:hint="eastAsia" w:ascii="仿宋" w:hAnsi="仿宋" w:eastAsia="仿宋" w:cs="仿宋"/>
          <w:i w:val="0"/>
          <w:iCs w:val="0"/>
          <w:caps w:val="0"/>
          <w:color w:val="333333"/>
          <w:spacing w:val="0"/>
          <w:sz w:val="32"/>
          <w:szCs w:val="32"/>
          <w:bdr w:val="none" w:color="auto" w:sz="0" w:space="0"/>
          <w:shd w:val="clear" w:fill="FFFFFF"/>
        </w:rPr>
        <w:t>算3.20万元，其中公务用车运行维护费3.20万元。公务接待费、因公出国（境）费用、公务用车购置费均为0万元。与2021年相比无增减变动。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三、机关运行经费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我部门2021年的机关运行经费为31.91万元，比2021年增加7.7万元，增加31.81%。</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四、政府采购预算情况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2022年政府采购预算总额751.60万元，用于支付日常办公费、印刷费以及购置办公用品3.21万元，专项经费购置体育设备以及办公用品153.39万元；专项经费培训职业技能、意外伤害险购买服务以及购买办公用品595.00万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五、绩效评价工作情况及评价结果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2022年项目资金由财政部门统一管理，专款专用，专人管理，严格规范资金使用项目，严禁挤占挪用，从严从实按资金使用项目执行，确保资金安全运行，取得良好的社会效益。财务账务清楚，及时支出，手续健全，财务状况良好，管理规范有效。绩效评价工作以年初申报的绩效目标为依据，结合项目实施具体情况制定方案、情况调研、指标设计、数据收集、综合分析等，完成绩效自评工作。项目完成后对绩效自评结果进行公示，接受群众监督。</w:t>
      </w:r>
    </w:p>
    <w:p>
      <w:pP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2"/>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2"/>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2"/>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2"/>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pPr>
    </w:p>
    <w:p>
      <w:pPr>
        <w:pStyle w:val="4"/>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sectPr>
          <w:pgSz w:w="11906" w:h="16838"/>
          <w:pgMar w:top="1440" w:right="1800" w:bottom="1440" w:left="1800" w:header="851" w:footer="992" w:gutter="0"/>
          <w:cols w:space="425" w:num="1"/>
          <w:docGrid w:type="lines" w:linePitch="312" w:charSpace="0"/>
        </w:sectPr>
      </w:pPr>
    </w:p>
    <w:p>
      <w:pPr>
        <w:rPr>
          <w:rFonts w:hint="default"/>
        </w:rPr>
      </w:pPr>
    </w:p>
    <w:p>
      <w:pPr>
        <w:pStyle w:val="2"/>
        <w:ind w:left="0" w:leftChars="0" w:firstLine="0" w:firstLineChars="0"/>
        <w:rPr>
          <w:rFonts w:hint="default"/>
        </w:rPr>
      </w:pPr>
    </w:p>
    <w:p>
      <w:pPr>
        <w:rPr>
          <w:rFonts w:hint="default"/>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560"/>
        <w:jc w:val="left"/>
        <w:rPr>
          <w:rFonts w:hint="default" w:ascii="Calibri" w:hAnsi="Calibri" w:cs="Calibri"/>
          <w:i w:val="0"/>
          <w:iCs w:val="0"/>
          <w:sz w:val="24"/>
          <w:szCs w:val="24"/>
        </w:rPr>
      </w:pPr>
      <w:r>
        <w:rPr>
          <w:rFonts w:hint="eastAsia" w:ascii="宋体" w:hAnsi="宋体" w:eastAsia="宋体" w:cs="宋体"/>
          <w:b w:val="0"/>
          <w:bCs w:val="0"/>
          <w:i w:val="0"/>
          <w:iCs w:val="0"/>
          <w:caps w:val="0"/>
          <w:color w:val="000000"/>
          <w:spacing w:val="0"/>
          <w:sz w:val="28"/>
          <w:szCs w:val="28"/>
          <w:bdr w:val="none" w:color="auto" w:sz="0" w:space="0"/>
          <w:shd w:val="clear" w:fill="FFFFFF"/>
        </w:rPr>
        <w:t>以下分别列示我部门2022年度部分项目绩效目标申报表：</w:t>
      </w:r>
    </w:p>
    <w:tbl>
      <w:tblPr>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337"/>
        <w:gridCol w:w="43"/>
        <w:gridCol w:w="1421"/>
        <w:gridCol w:w="86"/>
        <w:gridCol w:w="2264"/>
        <w:gridCol w:w="169"/>
        <w:gridCol w:w="1965"/>
        <w:gridCol w:w="544"/>
        <w:gridCol w:w="1226"/>
        <w:gridCol w:w="224"/>
        <w:gridCol w:w="350"/>
        <w:gridCol w:w="2064"/>
        <w:gridCol w:w="327"/>
        <w:gridCol w:w="1433"/>
        <w:gridCol w:w="303"/>
        <w:gridCol w:w="14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64" w:hRule="atLeast"/>
        </w:trPr>
        <w:tc>
          <w:tcPr>
            <w:tcW w:w="15200" w:type="dxa"/>
            <w:gridSpan w:val="16"/>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（一）项目支出绩效目标申报表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rPr>
        <w:tc>
          <w:tcPr>
            <w:tcW w:w="133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64"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350"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869"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736"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4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10049" w:type="dxa"/>
            <w:gridSpan w:val="11"/>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J残疾人动态数据更新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478"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391"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180"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478"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150,000</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180"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150,000</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151" w:type="dxa"/>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7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18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39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318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5"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10049" w:type="dxa"/>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该项目的主要是登记具有残疾证的残疾人，登记内容是残疾人的主要生存与发展项目（基本信息、经济与住房、义务教育、就业与扶贫、社会保障、基本医疗与康复、无障碍、社区文体活动等方面的基本状况与需求）以及全市所有村（社区）的基本公共服务设施情况，更新方式以入户采集为主，每年及时更新将有利于工作获得最新的数据，方便工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10049" w:type="dxa"/>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残联发﹝2018〕55号 关于建立全国残疾人基本服务状况和需求信息数据动态更新工作长效机制的意见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10049" w:type="dxa"/>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该项目的主要是基于一些残疾人主要生存与发展项目的数据更新工作，每年及时更新将有利于工作获得最新的数据，方便工作，从而促进残疾人事业发展。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4"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10049" w:type="dxa"/>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15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10049" w:type="dxa"/>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项目实施内容 开始时间 完成时间 1、培训各县区残联工作人员 2022年1 月1 日 2022年12月31日 2、系统更新及维护 2022年1 月 1日 2022年 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4" w:hRule="atLeast"/>
        </w:trPr>
        <w:tc>
          <w:tcPr>
            <w:tcW w:w="9279" w:type="dxa"/>
            <w:gridSpan w:val="10"/>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99" w:hRule="atLeast"/>
        </w:trPr>
        <w:tc>
          <w:tcPr>
            <w:tcW w:w="13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942" w:type="dxa"/>
            <w:gridSpan w:val="9"/>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该项目的实施解决了基层残联数据采集者业务知识更新不及时、网上残疾人数据更新不及时的问题，通过培训基层残联工作人员、更新网络数据有助于更精准地对残疾人进行服务，从而提高残疾人满意度，促进残疾人事业的发展。     “指标内容 实施程度1、培训、更新工作完成情况 完成2、工作保障率 100％3、工作开展周期 全年4、残疾人满意度 良好“   </w:t>
            </w:r>
          </w:p>
        </w:tc>
        <w:tc>
          <w:tcPr>
            <w:tcW w:w="5921"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2022年开展培训工作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5" w:hRule="atLeast"/>
        </w:trPr>
        <w:tc>
          <w:tcPr>
            <w:tcW w:w="1337"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46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235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678"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45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741"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736"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44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9"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9"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21"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培训经费</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64"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23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67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受益残疾人满意度（%）</w:t>
            </w:r>
          </w:p>
        </w:tc>
        <w:tc>
          <w:tcPr>
            <w:tcW w:w="145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c>
          <w:tcPr>
            <w:tcW w:w="2741"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736"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培训人员满意度</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35" w:hRule="atLeast"/>
        </w:trPr>
        <w:tc>
          <w:tcPr>
            <w:tcW w:w="15200" w:type="dxa"/>
            <w:gridSpan w:val="16"/>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（二）项目支出绩效目标申报表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07"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806"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760"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47" w:type="dxa"/>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9880" w:type="dxa"/>
            <w:gridSpan w:val="10"/>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J残疾人文体福利费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3735"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638"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507"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3735"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150,000</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507"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150,000</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320" w:type="dxa"/>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17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63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50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9880" w:type="dxa"/>
            <w:gridSpan w:val="10"/>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代表残疾人共同利益，维护残疾人合法权益，开展各项业务活动，直接为残疾人服务;承担政府委托的部分行政职能，发展和管理残疾人事业。 由于许多残疾人由于残疾而自卑，该项目主要是为残疾人提供文化、体育活动，让有爱好的残疾人积极参加活动，从而助力我国残运会事业发展。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9880" w:type="dxa"/>
            <w:gridSpan w:val="10"/>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参照往年情况设立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9880" w:type="dxa"/>
            <w:gridSpan w:val="10"/>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丰富残疾人文化、体育活动，为残奥会做出贡献，促进大同经济全面发展。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9880" w:type="dxa"/>
            <w:gridSpan w:val="10"/>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《单位财务管理制度》、《单位内部控制制度》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320" w:type="dxa"/>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9880" w:type="dxa"/>
            <w:gridSpan w:val="10"/>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1、残疾人文化活动 2022年1月1日到2022年12月31日 2、残疾人体育活动 2022年1月1日到2022年12月31日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9055" w:type="dxa"/>
            <w:gridSpan w:val="9"/>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6145" w:type="dxa"/>
            <w:gridSpan w:val="7"/>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877" w:hRule="atLeast"/>
        </w:trPr>
        <w:tc>
          <w:tcPr>
            <w:tcW w:w="1380" w:type="dxa"/>
            <w:gridSpan w:val="2"/>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675" w:type="dxa"/>
            <w:gridSpan w:val="7"/>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解决许多残疾人无法参加集体活动的问题，让很多的残疾人既丰富了他们的精神生活也使得他们的身体得到了锻炼，发挥了自身的特长，助力了残运会事业，促进国家文化、体育事业发展。     1、完成工作  2、工作保障率100％  3、工作开展周期为全年4、残疾人满意度良好   </w:t>
            </w:r>
          </w:p>
        </w:tc>
        <w:tc>
          <w:tcPr>
            <w:tcW w:w="6145" w:type="dxa"/>
            <w:gridSpan w:val="7"/>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开展残疾人活动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5" w:hRule="atLeast"/>
        </w:trPr>
        <w:tc>
          <w:tcPr>
            <w:tcW w:w="1380" w:type="dxa"/>
            <w:gridSpan w:val="2"/>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507"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243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96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77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638"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76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747"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2433"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文体工作完成率</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638" w:type="dxa"/>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文体工作完成率</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33"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文体福利费</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办公费</w:t>
            </w:r>
          </w:p>
        </w:tc>
        <w:tc>
          <w:tcPr>
            <w:tcW w:w="2638" w:type="dxa"/>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文体福利费</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文体工作保障率</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文体工作保障率</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文体经费</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及时拨付</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文体经费</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文体福利费</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残疾人积极性</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文体福利费</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残疾人积极性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80" w:type="dxa"/>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50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243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96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受益人员</w:t>
            </w:r>
          </w:p>
        </w:tc>
        <w:tc>
          <w:tcPr>
            <w:tcW w:w="177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c>
          <w:tcPr>
            <w:tcW w:w="2638" w:type="dxa"/>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760"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受益人员</w:t>
            </w:r>
          </w:p>
        </w:tc>
        <w:tc>
          <w:tcPr>
            <w:tcW w:w="1747"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eastAsia="宋体" w:cs="Calibri"/>
          <w:i w:val="0"/>
          <w:iCs w:val="0"/>
          <w:caps w:val="0"/>
          <w:color w:val="333333"/>
          <w:spacing w:val="0"/>
          <w:sz w:val="21"/>
          <w:szCs w:val="21"/>
          <w:bdr w:val="none" w:color="auto" w:sz="0" w:space="0"/>
          <w:shd w:val="clear" w:fill="FFFFFF"/>
        </w:rPr>
        <w:t> </w:t>
      </w:r>
    </w:p>
    <w:tbl>
      <w:tblPr>
        <w:tblW w:w="151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365"/>
        <w:gridCol w:w="1494"/>
        <w:gridCol w:w="2400"/>
        <w:gridCol w:w="2400"/>
        <w:gridCol w:w="1444"/>
        <w:gridCol w:w="107"/>
        <w:gridCol w:w="2518"/>
        <w:gridCol w:w="2175"/>
        <w:gridCol w:w="12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15180" w:type="dxa"/>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（三）项目支出绩效目标申报表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9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00"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469" w:type="dxa"/>
            <w:gridSpan w:val="4"/>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217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7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9921"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J残联12385热线经费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3951"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51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452"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3951"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90,000</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452"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90,000</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525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55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5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45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9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代表残疾人共同利益，维护残疾人合法权益，开展各项业务活动，直接为残疾人服务;承担政府委托的部分行政职能，发展和管理残疾人事业。 该项目的实施主要是开通热线电话，以人工语音的方式提供相关政策咨询、投诉请求、意见建议和生活帮扶等服务，当残疾人有困难时，可及时倾听残疾人心声，根据残疾人的诉求，从而解决其实际困难，提高残疾人满意度，促进残疾人事业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9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残联发﹝2015﹞7号 中国残疾人联合会关于印发《全国残疾人服务热线12385建设方案的通知》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9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以人工语音的方式了解残疾人需求，有效帮助残疾人解决处理小康进程中遇到的实际困难和问题。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9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《单位财务管理制度》、《单位内部控制制度》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525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9921"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1、提供政策咨询 2022年1月1日到2022年12月31日 2、提供生活帮助 2022年1月1日到2021年12月31日 3、收集意见建议 2022年1月1日到2022年12月31日 4、接受投诉请求 2022年1月1日到2022年12月31日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9103"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607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99" w:hRule="atLeast"/>
        </w:trPr>
        <w:tc>
          <w:tcPr>
            <w:tcW w:w="1365"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738"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解决残疾人困难，及时倾听残疾人心声，了解残疾人需求，及时有效帮助残疾人解决处理小康进程中遇到的实际困难和问题，提高残疾人满意度，促进残疾人事业发展。     “1、工作完成情况 完成2、工作保障率     100％3、工作开展周期 全年4、残疾人满意度 良好“   </w:t>
            </w:r>
          </w:p>
        </w:tc>
        <w:tc>
          <w:tcPr>
            <w:tcW w:w="6077"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2022年完成支付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5" w:hRule="atLeast"/>
        </w:trPr>
        <w:tc>
          <w:tcPr>
            <w:tcW w:w="1365"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49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40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44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625"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17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27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支付经费及时性</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支付经费及时性</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热线经费</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及时拨付</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热线经费</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及时拨付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1365"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受益人满意度（%）</w:t>
            </w:r>
          </w:p>
        </w:tc>
        <w:tc>
          <w:tcPr>
            <w:tcW w:w="14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c>
          <w:tcPr>
            <w:tcW w:w="2625"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受益人满意度（%）</w:t>
            </w:r>
          </w:p>
        </w:tc>
        <w:tc>
          <w:tcPr>
            <w:tcW w:w="127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5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363"/>
        <w:gridCol w:w="1490"/>
        <w:gridCol w:w="2400"/>
        <w:gridCol w:w="2396"/>
        <w:gridCol w:w="1566"/>
        <w:gridCol w:w="338"/>
        <w:gridCol w:w="2454"/>
        <w:gridCol w:w="1998"/>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42" w:hRule="atLeast"/>
        </w:trPr>
        <w:tc>
          <w:tcPr>
            <w:tcW w:w="15280" w:type="dxa"/>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（四）项目支出绩效目标申报表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5" w:hRule="atLeast"/>
        </w:trPr>
        <w:tc>
          <w:tcPr>
            <w:tcW w:w="1363"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90"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9154" w:type="dxa"/>
            <w:gridSpan w:val="5"/>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998"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7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10027"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J维稳解困资金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3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45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273"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30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1,200,000</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273"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1,200,000</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85" w:hRule="atLeast"/>
        </w:trPr>
        <w:tc>
          <w:tcPr>
            <w:tcW w:w="525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39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9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45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27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1002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为了进步贯彻市委、市政府春节期间做好帮扶解困送温暖精神要求，下达你单位2021年维稳解困资金，用于解决特困残疾人生产生活问题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1002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参照往年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1002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为了进步贯彻市委、市政府春节期间做好帮扶解困送温暖精神要求，下达你单位2022年维稳解困资金，用于解决特困残疾人生产生活问题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1002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为了进步贯彻市委、市政府春节期间做好帮扶解困送温暖精神要求，下达你单位2022年维稳解困资金，用于解决特困残疾人生产生活问题 《单位财务制度》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525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1002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为了进步贯彻市委、市政府春节期间做好帮扶解困送温暖精神要求，下达你单位2021年维稳解困资金，用于解决特困残疾人生产生活问题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15" w:hRule="atLeast"/>
        </w:trPr>
        <w:tc>
          <w:tcPr>
            <w:tcW w:w="9215"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6065"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106" w:hRule="atLeast"/>
        </w:trPr>
        <w:tc>
          <w:tcPr>
            <w:tcW w:w="1363"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852"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这一项目的实施将解决许多贫困人员生活困难的问题，通过给贫困人员一定的资金，让其在有经验的人员的技术帮扶下，提高自身的实用技术能力，从而创业脱贫。     </w:t>
            </w:r>
          </w:p>
        </w:tc>
        <w:tc>
          <w:tcPr>
            <w:tcW w:w="6065"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4" w:hRule="atLeast"/>
        </w:trPr>
        <w:tc>
          <w:tcPr>
            <w:tcW w:w="1363"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49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240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39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56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792"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99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27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7"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7"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7"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支付经费及时性</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支付经费及时性</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7"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7"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促进发展</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19" w:hRule="atLeast"/>
        </w:trPr>
        <w:tc>
          <w:tcPr>
            <w:tcW w:w="1363"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49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240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39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56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c>
          <w:tcPr>
            <w:tcW w:w="2792"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9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2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52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76"/>
        <w:gridCol w:w="1052"/>
        <w:gridCol w:w="1617"/>
        <w:gridCol w:w="3692"/>
        <w:gridCol w:w="1311"/>
        <w:gridCol w:w="588"/>
        <w:gridCol w:w="1620"/>
        <w:gridCol w:w="3098"/>
        <w:gridCol w:w="1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59" w:hRule="atLeast"/>
        </w:trPr>
        <w:tc>
          <w:tcPr>
            <w:tcW w:w="15260" w:type="dxa"/>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（五）项目支出绩效目标申报表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976"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052"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1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211" w:type="dxa"/>
            <w:gridSpan w:val="4"/>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3098"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06"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11615"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QT特殊儿童康复教职工工资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5591"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162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4404"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5591"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9,000,000</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4404"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9,000,000</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38" w:hRule="atLeast"/>
        </w:trPr>
        <w:tc>
          <w:tcPr>
            <w:tcW w:w="3645"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89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62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440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8"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11615"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用于在职人员工资、社会保障缴费、住房公积金及退休人员提租补贴和取暖费。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266"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11615"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《山西省残疾人就业保障金佂收和使用管理办法的实施》（晋财综字【2016】8号）残疾人就业服务机构提供残疾人就业服务和组织职业技能竞赛（含展能活动）支出。补贴辅助性就业机构建设和运行费用。  山西省教育厅、财政厅、人社厅《进一步落实特殊教育提升计划通知》晋教基【2016】4号“将特教学校师生比提高到1比3以上”。该中心为晋北地区唯一市级公立康复教育机构，现有学生近200人，应配备教职工近70人，现有教职工编制13人，实有 在职17人，退休10人，外聘55人教职工，采用劳务派遣54人。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577"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11615"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《山西省残疾人就业保障金佂收和使用管理办法的实施》（晋财综字【2016】8号）残疾人就业服务机构提供残疾人就业服务和组织职业技能竞赛（含展能活动）支出。补贴辅助性就业机构建设和运行费用。  山西省教育厅、财政厅、人社厅《进一步落实特殊教育提升计划通知》晋教基【2016】4号“将特教学校师生比提高到1比3以上”。该中心为晋北地区唯一市级公立康复教育机构，现有学生近200人，应配备教职工近70人，现有教职工编制13人，实有 在职17人，退休10人，外聘55人教职工，采用劳务派遣55人。  用于在职人员工资、社会保障缴费、住房公积金及退休人员提租补贴和取暖费。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8"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11615"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《事业单位财务管理制度》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8" w:hRule="atLeast"/>
        </w:trPr>
        <w:tc>
          <w:tcPr>
            <w:tcW w:w="3645"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11615"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按月发放工资及社会保险费。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8" w:hRule="atLeast"/>
        </w:trPr>
        <w:tc>
          <w:tcPr>
            <w:tcW w:w="8648"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6612"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18" w:hRule="atLeast"/>
        </w:trPr>
        <w:tc>
          <w:tcPr>
            <w:tcW w:w="976"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672"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按时发放工资及社会保险。</w:t>
            </w:r>
          </w:p>
        </w:tc>
        <w:tc>
          <w:tcPr>
            <w:tcW w:w="6612"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按时发放职工工资及缴纳社会保险费。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5" w:hRule="atLeast"/>
        </w:trPr>
        <w:tc>
          <w:tcPr>
            <w:tcW w:w="976"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05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61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369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31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208"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309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30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617"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在训特殊儿童康复人数</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≥125人</w:t>
            </w:r>
          </w:p>
        </w:tc>
        <w:tc>
          <w:tcPr>
            <w:tcW w:w="2208"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在训特殊儿童康复人数</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≥125人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在编在职人员人数</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8人</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在编在职人员人数</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劳务外包人数</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55人</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退休人数</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退休人数</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10人</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劳务外包人数</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在职人员工资保障率</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208"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在职人员工资保障率</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人员工资及时发放率</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208"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人员工资及时发放率</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43"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特殊儿童康复工作人员（劳务外包人员）人均社会保险</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≥805.29元/月</w:t>
            </w:r>
          </w:p>
        </w:tc>
        <w:tc>
          <w:tcPr>
            <w:tcW w:w="2208"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特殊儿童康复工作人员（劳务外包人员）人均社会保险</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≥805.29元/月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43"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特殊儿童康复工作人员（劳务外包人员）人均绩效工资</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≤380元/月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特殊儿童康复工作人员（劳务外包人员）人均绩效工资</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≤380元/月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43"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特殊儿童康复工作人员（劳务外包人员）人均基本工资</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≤1890元 /月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特殊儿童康复工作人员（劳务外包人员）人均基本工资</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≤1890元 /月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在编在职人均社会保险</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≥2245.5元/月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在编在职人均社会保险</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≥2245.5元/月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在编在职人均绩效工资</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≥2250.5元/月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在编在职人均绩效工资</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≥2250.5元/月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32"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在编在职人均津贴补贴</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≥2555元/月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在编在职人均津贴补贴</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≥2555元/月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在编在职人员人均基本工资</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≥3912.5元/月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在编在职人员人均基本工资</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≥3912.5元/月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在编在职人均住房公积金</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≤1500元/月</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在编在职人均住房公积金</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≤1500元/月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61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208"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保障日常工作顺利开展</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w:t>
            </w:r>
          </w:p>
        </w:tc>
        <w:tc>
          <w:tcPr>
            <w:tcW w:w="2208"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保障日常工作顺利开展</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617"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特殊儿童及家长满意度</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2208"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特殊儿童及家长满意度</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8" w:hRule="atLeast"/>
        </w:trPr>
        <w:tc>
          <w:tcPr>
            <w:tcW w:w="976"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05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617"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69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职工满意度</w:t>
            </w:r>
          </w:p>
        </w:tc>
        <w:tc>
          <w:tcPr>
            <w:tcW w:w="13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2208"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309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职工满意度</w:t>
            </w:r>
          </w:p>
        </w:tc>
        <w:tc>
          <w:tcPr>
            <w:tcW w:w="130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3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222"/>
        <w:gridCol w:w="1335"/>
        <w:gridCol w:w="2141"/>
        <w:gridCol w:w="2138"/>
        <w:gridCol w:w="1433"/>
        <w:gridCol w:w="332"/>
        <w:gridCol w:w="2169"/>
        <w:gridCol w:w="1773"/>
        <w:gridCol w:w="1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8" w:hRule="atLeast"/>
        </w:trPr>
        <w:tc>
          <w:tcPr>
            <w:tcW w:w="13940" w:type="dxa"/>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（六）项目支出绩效目标申报表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1" w:hRule="atLeast"/>
        </w:trPr>
        <w:tc>
          <w:tcPr>
            <w:tcW w:w="1222"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3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41"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072" w:type="dxa"/>
            <w:gridSpan w:val="4"/>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773"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9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9242"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Z残疾人辅助器具购置及假肢装配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3903"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16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17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3903"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1,350,000</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170"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1,350,000</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3" w:hRule="atLeast"/>
        </w:trPr>
        <w:tc>
          <w:tcPr>
            <w:tcW w:w="4698"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76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170"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9242"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肢体残疾人由于下肢残缺，依托上肢手杖或腋杖帮助行走，给生活、工作带来不便。为有需求的残疾人免费装配假肢，使其离开拐杖独立行走，将双手解放出来，从而帮助改善生活。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9242"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《国务院“十四五”残疾人保障和发展规划》（国发【2021】10号）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9242"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可以帮助残疾人辅助器具下肢残障人士摆脱拐杖，独立行走，将双手解放出来从事生产、工作、学习。提高残疾人满意度，把惠民政策和温暖送到残疾人手中。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9242"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 《项目管理制度》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4698"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9242"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项目实内容部 开始时间 完成时间 1、申请项目款 2022年1月1日 2022年12月31日 2、购买材料 2022年1月1日 2022年12月31日 3、辅助器具及假肢制作交付 2022年1月1日 2022年12月31日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4" w:hRule="atLeast"/>
        </w:trPr>
        <w:tc>
          <w:tcPr>
            <w:tcW w:w="8269"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671"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28" w:hRule="atLeast"/>
        </w:trPr>
        <w:tc>
          <w:tcPr>
            <w:tcW w:w="1222"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047"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帮助下肢残障人士摆脱拐杖，独立行走，将双手解放出来从事生产、工作、学习。提高残疾人满意度，把惠民政策和温暖送到残疾人手中。     </w:t>
            </w:r>
          </w:p>
        </w:tc>
        <w:tc>
          <w:tcPr>
            <w:tcW w:w="5671"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2022年完成残疾人辅助器具购置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9" w:hRule="atLeast"/>
        </w:trPr>
        <w:tc>
          <w:tcPr>
            <w:tcW w:w="1222"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214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13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43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501"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77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39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2141"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安装假肢大腿数量</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＞30＞30</w:t>
            </w:r>
          </w:p>
        </w:tc>
        <w:tc>
          <w:tcPr>
            <w:tcW w:w="2501"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安装假肢大腿数量</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安装假肢小腿数量</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c>
          <w:tcPr>
            <w:tcW w:w="2501"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安装假肢小腿数量</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c>
          <w:tcPr>
            <w:tcW w:w="2501"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501"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残疾人辅助器具经费</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≤450000元</w:t>
            </w:r>
          </w:p>
        </w:tc>
        <w:tc>
          <w:tcPr>
            <w:tcW w:w="2501"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残疾人辅助器具经费</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≤450000元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214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501"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促进残疾人独立行走</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2501" w:type="dxa"/>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促进残疾人独立行走</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41"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提高残疾人灵活度</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灵活</w:t>
            </w:r>
          </w:p>
        </w:tc>
        <w:tc>
          <w:tcPr>
            <w:tcW w:w="2501" w:type="dxa"/>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提高残疾人灵活度</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灵活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2" w:hRule="atLeast"/>
        </w:trPr>
        <w:tc>
          <w:tcPr>
            <w:tcW w:w="1222"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214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13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假肢装配者满意度</w:t>
            </w:r>
          </w:p>
        </w:tc>
        <w:tc>
          <w:tcPr>
            <w:tcW w:w="14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c>
          <w:tcPr>
            <w:tcW w:w="2501"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77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假肢装配者满意度</w:t>
            </w:r>
          </w:p>
        </w:tc>
        <w:tc>
          <w:tcPr>
            <w:tcW w:w="13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4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89"/>
        <w:gridCol w:w="1185"/>
        <w:gridCol w:w="1869"/>
        <w:gridCol w:w="2883"/>
        <w:gridCol w:w="1435"/>
        <w:gridCol w:w="90"/>
        <w:gridCol w:w="1983"/>
        <w:gridCol w:w="2474"/>
        <w:gridCol w:w="13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75" w:hRule="atLeast"/>
        </w:trPr>
        <w:tc>
          <w:tcPr>
            <w:tcW w:w="14340" w:type="dxa"/>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（七）项目支出绩效目标申报表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4" w:hRule="atLeast"/>
        </w:trPr>
        <w:tc>
          <w:tcPr>
            <w:tcW w:w="1089"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8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69"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91" w:type="dxa"/>
            <w:gridSpan w:val="4"/>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247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32"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10197" w:type="dxa"/>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Z残疾人康复工作经费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40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大同市残疾人联合会[部门]</w:t>
            </w:r>
          </w:p>
        </w:tc>
        <w:tc>
          <w:tcPr>
            <w:tcW w:w="198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806"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408"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960,000</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806"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960,000</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4143"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525"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83"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806"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9"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1019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代表残疾人共同利益，维护残疾人合法权益，开展各项业务活动，直接为残疾人服务;承担政府委托的部分行政职能，发展和管理残疾人事业。 由于许多残疾人由于残疾而生活不便，该项目主要是中央部门拨付一定的资金，用于残联工作人员的办公经费，商品和服务支出，从而更好地服务残疾人。保障日常工作开展。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1019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晋发﹝2009﹞18号关于加快残疾人事业发展的实施意见  “残疾人康复救助属于各级政府共同事权，所需经费由各级财政共同负担”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1019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为残疾人提供康复治疗，从而让其能够更加顺利地处理日常事务，提高残疾人满意度，促进残疾人事业发展。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1019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《单位财务管理制度》、《项目管理制度》、《单位内部控制制度》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4143"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10197" w:type="dxa"/>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1、日常办公支出 2022年1月到2022年12月31日 2、商品和其他服务支出 2022年1月到2022年12月31日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21" w:hRule="atLeast"/>
        </w:trPr>
        <w:tc>
          <w:tcPr>
            <w:tcW w:w="846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879"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33" w:hRule="atLeast"/>
        </w:trPr>
        <w:tc>
          <w:tcPr>
            <w:tcW w:w="1089"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372"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日常工作经费，这一项目的实施将解决许多残疾人没专业人员对他们专项服务的问题，给予他们一定的帮助，从而让其能够拥有一定的经费进行康复治疗，从而提高残疾人生活能力及满意度，促进残疾人事业发展。       </w:t>
            </w:r>
          </w:p>
        </w:tc>
        <w:tc>
          <w:tcPr>
            <w:tcW w:w="5879" w:type="dxa"/>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2022年完成支付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1" w:hRule="atLeast"/>
        </w:trPr>
        <w:tc>
          <w:tcPr>
            <w:tcW w:w="1089"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18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869"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88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43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073"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47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332"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康复工作完成率</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康复工作完成率</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康复工作保障率</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康复工作保障率</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残疾人康复工作经费</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≤320000元</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残疾人康复工作经费</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≤320000元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3"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缓解残疾人无力支付康复治疗费用</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缓解残疾人无力支付康复治疗费用</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4" w:hRule="atLeast"/>
        </w:trPr>
        <w:tc>
          <w:tcPr>
            <w:tcW w:w="1089"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86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88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人员满意度</w:t>
            </w:r>
          </w:p>
        </w:tc>
        <w:tc>
          <w:tcPr>
            <w:tcW w:w="14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2073" w:type="dxa"/>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47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人员满意度</w:t>
            </w:r>
          </w:p>
        </w:tc>
        <w:tc>
          <w:tcPr>
            <w:tcW w:w="133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77"/>
        <w:gridCol w:w="1175"/>
        <w:gridCol w:w="1447"/>
        <w:gridCol w:w="2891"/>
        <w:gridCol w:w="1911"/>
        <w:gridCol w:w="2168"/>
        <w:gridCol w:w="2191"/>
        <w:gridCol w:w="12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90" w:hRule="atLeast"/>
        </w:trPr>
        <w:tc>
          <w:tcPr>
            <w:tcW w:w="14080"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（八）项目支出绩效目标申报表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2" w:hRule="atLeast"/>
        </w:trPr>
        <w:tc>
          <w:tcPr>
            <w:tcW w:w="107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75"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44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970" w:type="dxa"/>
            <w:gridSpan w:val="3"/>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2191"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20"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10381" w:type="dxa"/>
            <w:gridSpan w:val="5"/>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Z残疾人康复经费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80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16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411"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80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2,880,000</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411"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2,880,000</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960,000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6" w:hRule="atLeast"/>
        </w:trPr>
        <w:tc>
          <w:tcPr>
            <w:tcW w:w="369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9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91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41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6"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1038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代表残疾人共同利益，维护残疾人合法权益，开展各项业务活动，直接为残疾人服务;承担政府委托的部分行政职能，发展和管理残疾人事业。 由于许多残疾人由于残疾而生活不便，该项目主要是中央部门拨付一定的资资金，用于残疾人康复方面的治疗，比如为一些儿童制作人工耳蜗，由一定的专业教师引导，从而更大限度地接近健全人的能力。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1038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晋发﹝2009﹞18号 关于加快残疾人事业发展的实施意见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1038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为残疾人提供康复治疗，从而让其能够更加顺利地处理日常事务，提高残疾人满意度，促进残疾人事业发展。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1038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《单位财务管理制度》、《单位内部控制制度》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369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1038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1、康复护理 2022年1月到2022年12月31日 2、康复继续治疗 2022年1月到2022年12月31日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0" w:hRule="atLeast"/>
        </w:trPr>
        <w:tc>
          <w:tcPr>
            <w:tcW w:w="8501"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579"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08" w:hRule="atLeast"/>
        </w:trPr>
        <w:tc>
          <w:tcPr>
            <w:tcW w:w="107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424"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这一项目的实施将解决许多残疾人没钱进行康复治疗的问题，给予他们一定的康复费用，从而让其能够拥有一定的能力进行治疗，从而提高残疾人生活能力及满意度，促进残疾人事业发展。     1、完成工作 2、工作保障率100％3、工作开展周期全年4、接受康复人员满意度良好   </w:t>
            </w:r>
          </w:p>
        </w:tc>
        <w:tc>
          <w:tcPr>
            <w:tcW w:w="5579"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2022年完成支付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atLeast"/>
        </w:trPr>
        <w:tc>
          <w:tcPr>
            <w:tcW w:w="1077"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17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44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89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91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16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19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220"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康复工作完成率</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康复工作完成率</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康复工作保障率</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康复工作保障率</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支付及时性</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残疾人康复经费</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≤960000元</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残疾人康复经费</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≤960000元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4"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缓解残疾人无力支付康复治疗费用</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缓解残疾人无力支付康复治疗费用</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2"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促进残疾人尽快康复</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促进康复</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促进残疾人尽快康复</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促进康复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5" w:hRule="atLeast"/>
        </w:trPr>
        <w:tc>
          <w:tcPr>
            <w:tcW w:w="107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7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44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8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接受康复人员满意度</w:t>
            </w:r>
          </w:p>
        </w:tc>
        <w:tc>
          <w:tcPr>
            <w:tcW w:w="191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c>
          <w:tcPr>
            <w:tcW w:w="21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19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接受康复人员满意度</w:t>
            </w:r>
          </w:p>
        </w:tc>
        <w:tc>
          <w:tcPr>
            <w:tcW w:w="122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4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37"/>
        <w:gridCol w:w="1240"/>
        <w:gridCol w:w="1972"/>
        <w:gridCol w:w="2697"/>
        <w:gridCol w:w="1864"/>
        <w:gridCol w:w="2131"/>
        <w:gridCol w:w="1928"/>
        <w:gridCol w:w="10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80" w:hRule="atLeast"/>
        </w:trPr>
        <w:tc>
          <w:tcPr>
            <w:tcW w:w="14000"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（九）项目支出绩效目标申报表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2" w:hRule="atLeast"/>
        </w:trPr>
        <w:tc>
          <w:tcPr>
            <w:tcW w:w="113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40"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72"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692" w:type="dxa"/>
            <w:gridSpan w:val="3"/>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928"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031"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9651" w:type="dxa"/>
            <w:gridSpan w:val="5"/>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Z残疾人意外伤害保险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56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213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2959"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561"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7,350,000</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2959"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7,350,000</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434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69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86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31"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2959"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27"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965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由于自身生理缺陷，使得残疾人在日常生活和工作、学习等参与社会活动中比健全人更容易发生意外伤害，而一旦发生意外伤害，将使他们本人或家庭陷入更加贫困之中。为减轻残疾人家庭因意外人身伤害而产生的负担，更好的保障残疾人的日常生活、学习、工作，为全市持证残疾人购买意外伤害保险。 在就业年龄段（男16-59岁，女16-54岁），为持有二代残疾人证的4万残疾人购买意外伤害保险，每人每年50元，自保险协议生效之日起，保期一年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965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《山西省残疾人就业保障金佂收和使用管理办法的实施》（晋财综字【2016】8号）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965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为就业年龄段的残疾人购买意外伤害保险。解决残疾人因意外二次伤害造成的实际困难和后顾之忧。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965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1、财务制度 2、政府采购制度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trPr>
        <w:tc>
          <w:tcPr>
            <w:tcW w:w="434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9651"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项目实施内容、时间1、公开招标 2022年1月1 日 2022年4月 30日；2、实施 签订合同之日 2022年6月30日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trPr>
        <w:tc>
          <w:tcPr>
            <w:tcW w:w="8910"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090"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46" w:hRule="atLeast"/>
        </w:trPr>
        <w:tc>
          <w:tcPr>
            <w:tcW w:w="113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773"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残疾人是特殊的弱势群体，一旦受到意外伤害，本人及家庭陷入困境，意外伤害保险能够帮陷入困境的他们带来一份保障     </w:t>
            </w:r>
          </w:p>
        </w:tc>
        <w:tc>
          <w:tcPr>
            <w:tcW w:w="5090"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残疾人是特殊的弱势群体，一旦受到意外伤害，本人及家庭陷入困境，意外伤害保险能够帮助他们带来一份保障。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2" w:hRule="atLeast"/>
        </w:trPr>
        <w:tc>
          <w:tcPr>
            <w:tcW w:w="1137"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240"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97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69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86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213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92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03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4"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购买残疾人意外伤害保险人数</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49000人</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购买残疾人意外伤害保险人数</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49000人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残疾人资格认证达标率</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残疾人资格认证达标率</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任务完成及时性</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任务完成及时性</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单位意外伤害保险的成本</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50元</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单位意外伤害保险的成本</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4"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保障残疾人能够得到医疗救助</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保障残疾人能够得到医疗救助</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8" w:hRule="atLeast"/>
        </w:trPr>
        <w:tc>
          <w:tcPr>
            <w:tcW w:w="113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240"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9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69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86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21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9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03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41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91"/>
        <w:gridCol w:w="1184"/>
        <w:gridCol w:w="1872"/>
        <w:gridCol w:w="2844"/>
        <w:gridCol w:w="1918"/>
        <w:gridCol w:w="1828"/>
        <w:gridCol w:w="2249"/>
        <w:gridCol w:w="11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78" w:hRule="atLeast"/>
        </w:trPr>
        <w:tc>
          <w:tcPr>
            <w:tcW w:w="14140"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（十）项目支出绩效目标申报表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6" w:hRule="atLeast"/>
        </w:trPr>
        <w:tc>
          <w:tcPr>
            <w:tcW w:w="1091"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8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72"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590" w:type="dxa"/>
            <w:gridSpan w:val="3"/>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2249"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5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9993" w:type="dxa"/>
            <w:gridSpan w:val="5"/>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Z残疾人职业技能培训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476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182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3403"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4762"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10,500,000</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3403"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10,500,000</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9" w:hRule="atLeast"/>
        </w:trPr>
        <w:tc>
          <w:tcPr>
            <w:tcW w:w="4147"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91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340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9993"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残疾人文化水平相对低，普遍接受教育滞后，就业能力差，市场竞争力差，开展残疾人职业技能和实用技术培训，帮助有就业需求的残疾人，学习适合自身就业的技术，提高就业能力。培训各类残疾人1500名。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9993"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《山西省残疾人就业保障金征收和使用管理办法的实施》（晋财综【2016】8号）残疾人职业培训、职业教育和职业康复支出。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9993"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保障有需求的残疾人学到一技之长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9993"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1、财务制度 2、政府采购制度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4147"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9993"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按计划有序地实施就业年龄段残疾人职业技能培训（下乡摸底排查、招标、签订合同、培训等工作）。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1" w:hRule="atLeast"/>
        </w:trPr>
        <w:tc>
          <w:tcPr>
            <w:tcW w:w="8909"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5231"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8" w:hRule="atLeast"/>
        </w:trPr>
        <w:tc>
          <w:tcPr>
            <w:tcW w:w="1091"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7818"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帮助有需求就业的残疾人学到一技之长，提高就业能力</w:t>
            </w:r>
          </w:p>
        </w:tc>
        <w:tc>
          <w:tcPr>
            <w:tcW w:w="5231"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 提升残疾人职业技能，提高就业能力。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3" w:hRule="atLeast"/>
        </w:trPr>
        <w:tc>
          <w:tcPr>
            <w:tcW w:w="1091"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118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872"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84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91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1828"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2249"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154"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培训天数</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≥10天</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培训残疾人数</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≥1350人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培训残疾人数</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≥1350人</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残疾人汽车驾驶员技能培训人数</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残疾人汽车驾驶员技能培训人数</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≤30人</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培训次数</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≥27次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培训次数</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≥27次</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培训天数</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培训机构达标率</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残疾人结业率</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残疾人结业率</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培训人员合格率</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培训人员合格率</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台账数据质量</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台账数据质量</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培训合格率小于80%取消培训资格</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取消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残疾人驾驶员培训合格率</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残疾人驾驶员培训合格率</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培训合格率小于80%取消培训资格</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取消</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培训机构达标率</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培训开展及时性</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培训开展及时性</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残疾人培训时长</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≤8课时</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残疾人培训时长</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≤8课时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残疾人汽车驾驶员培训标准</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1000元/人</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残疾人汽车驾驶员培训标准</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1000元/人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食宿费培训标准</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≤60元/天</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食宿费培训标准</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≤60元/天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872"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促进残疾人就业</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促进残疾人就业</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提高残疾人就业稳定性</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残疾人就业率</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提高残疾人就业稳定性</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6"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872"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82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培训机构满意度</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7" w:hRule="atLeast"/>
        </w:trPr>
        <w:tc>
          <w:tcPr>
            <w:tcW w:w="1091"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18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2"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84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91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182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2249"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15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21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3"/>
        <w:gridCol w:w="426"/>
        <w:gridCol w:w="597"/>
        <w:gridCol w:w="3690"/>
        <w:gridCol w:w="2535"/>
        <w:gridCol w:w="2664"/>
        <w:gridCol w:w="2524"/>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rPr>
        <w:tc>
          <w:tcPr>
            <w:tcW w:w="9061" w:type="dxa"/>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（十一）项目支出绩效目标申报表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8" w:hRule="atLeast"/>
        </w:trPr>
        <w:tc>
          <w:tcPr>
            <w:tcW w:w="707"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68"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14"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4478" w:type="dxa"/>
            <w:gridSpan w:val="3"/>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1261"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3" w:type="dxa"/>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6372" w:type="dxa"/>
            <w:gridSpan w:val="5"/>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Z扶持残疾人就业创业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314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133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1894"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3143"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1,650,000</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1894" w:type="dxa"/>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1,650,000</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550,000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2689" w:type="dxa"/>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267"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35"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1894" w:type="dxa"/>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6372"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背景：就业是残疾人自强自立，实现自身价值的重要途径。由于自身缺陷，就业面临诸多困难，扶持有就业需求的残疾人，帮助指导就业。                                                                                                                                                                                                   标准目标：在就业年龄段（男16-59岁，女16-54岁），持有二代残疾人证，扶持500人，以货物扶持为主。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3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6372"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人就业保障金征收和使用管理办法的实施》（晋财综字【2016】8号）残疾人从事个体经营、自主创业、灵活就业的经营场所租赁、启动资金、设施设备购置补贴和小额贷款贴息。扶持农村残疾人从事种植、养殖、手工业及其他形式生产劳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6372"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扶持残疾人就业创业，帮助他们自食其力，增加收入，改善残疾人生活状况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6372"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1、财务制度 2、政府采购制度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2689" w:type="dxa"/>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6372" w:type="dxa"/>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项目实施内容、时间                                             1、招标购买服务 2021年1月 1日 2021年4月30日                  2、实施 签订合同之日 2021年12月31日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9" w:hRule="atLeast"/>
        </w:trPr>
        <w:tc>
          <w:tcPr>
            <w:tcW w:w="5832" w:type="dxa"/>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3229" w:type="dxa"/>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99" w:hRule="atLeast"/>
        </w:trPr>
        <w:tc>
          <w:tcPr>
            <w:tcW w:w="707" w:type="dxa"/>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5125" w:type="dxa"/>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扶持残疾人就业创业，使有就业愿望的残疾人融入社会，带动和影响周围的残疾人。</w:t>
            </w:r>
          </w:p>
        </w:tc>
        <w:tc>
          <w:tcPr>
            <w:tcW w:w="3229" w:type="dxa"/>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扶持残疾人就业创业，使有就业愿望的残疾人融入社会，改善残疾人生活。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707" w:type="dxa"/>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768"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1214" w:type="dxa"/>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876"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1267"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1335"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1261"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633" w:type="dxa"/>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贫困残疾人帮扶人数</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≤550人</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贫困残疾人帮扶人数</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≤550人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残疾人资格认定程序合规定</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合规</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残疾人资格认定程序合规定</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合规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定向扶持工作开展及时性</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定向扶持工作开展及时性</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残疾人自主创业、个体经营的补贴</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2000元</w:t>
            </w:r>
          </w:p>
        </w:tc>
        <w:tc>
          <w:tcPr>
            <w:tcW w:w="1335"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残疾人自主创业、个体经营的补贴</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对就业年龄段的残疾人货物扶持</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500元</w:t>
            </w:r>
          </w:p>
        </w:tc>
        <w:tc>
          <w:tcPr>
            <w:tcW w:w="1335"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对就业年龄段的残疾人货物扶持</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缓解残疾人经济压力</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缓解残疾人经济压力</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促进残疾人就业创业</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促进残疾人就业创业</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生态效益指标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生态效益指标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8" w:hRule="atLeast"/>
        </w:trPr>
        <w:tc>
          <w:tcPr>
            <w:tcW w:w="707" w:type="dxa"/>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68"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1214"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876"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1267"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w:t>
            </w:r>
          </w:p>
        </w:tc>
        <w:tc>
          <w:tcPr>
            <w:tcW w:w="1335"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1261"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633" w:type="dxa"/>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5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22"/>
        <w:gridCol w:w="160"/>
        <w:gridCol w:w="1059"/>
        <w:gridCol w:w="341"/>
        <w:gridCol w:w="1586"/>
        <w:gridCol w:w="673"/>
        <w:gridCol w:w="1243"/>
        <w:gridCol w:w="1001"/>
        <w:gridCol w:w="1173"/>
        <w:gridCol w:w="341"/>
        <w:gridCol w:w="274"/>
        <w:gridCol w:w="206"/>
        <w:gridCol w:w="1443"/>
        <w:gridCol w:w="1051"/>
        <w:gridCol w:w="891"/>
        <w:gridCol w:w="947"/>
        <w:gridCol w:w="15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86" w:hRule="atLeast"/>
        </w:trPr>
        <w:tc>
          <w:tcPr>
            <w:tcW w:w="5000" w:type="pct"/>
            <w:gridSpan w:val="17"/>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（十二）项目支出绩效目标申报表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9" w:hRule="atLeast"/>
        </w:trPr>
        <w:tc>
          <w:tcPr>
            <w:tcW w:w="373"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406"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40"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7"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34" w:type="pct"/>
            <w:gridSpan w:val="3"/>
            <w:tcBorders>
              <w:top w:val="nil"/>
              <w:left w:val="nil"/>
              <w:bottom w:val="nil"/>
              <w:right w:val="nil"/>
            </w:tcBorders>
            <w:shd w:val="clear"/>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639" w:type="pct"/>
            <w:gridSpan w:val="3"/>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8"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28"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3579" w:type="pct"/>
            <w:gridSpan w:val="1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1360"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752" w:type="pct"/>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1467" w:type="pct"/>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1360"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252,000</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1467" w:type="pct"/>
            <w:gridSpan w:val="4"/>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1" w:hRule="atLeast"/>
        </w:trPr>
        <w:tc>
          <w:tcPr>
            <w:tcW w:w="1420" w:type="pct"/>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252,000</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420" w:type="pct"/>
            <w:gridSpan w:val="5"/>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722"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5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1467"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3579" w:type="pct"/>
            <w:gridSpan w:val="1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用于单位运营费（水费、电费、取暖费）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81"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3579" w:type="pct"/>
            <w:gridSpan w:val="1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大同市人民政府办公厅批转大同市教育局等部门关于《大同市第二期特殊教育提升计划实施方案（2017-2020年）》的通知（同政办发[214]号）      《山西省残疾儿童康复救助制度》（晋政发【2018】43号）“将残疾儿童康复救助纳入本级政府财政预算，确保应救尽救”。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3579" w:type="pct"/>
            <w:gridSpan w:val="1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贯彻落实党的十九大关于“发展残疾人事业，加强残疾康复服务”的重要部署，保障全市残疾人及时得到基本康复服务。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3579" w:type="pct"/>
            <w:gridSpan w:val="1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420" w:type="pct"/>
            <w:gridSpan w:val="5"/>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3579" w:type="pct"/>
            <w:gridSpan w:val="1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用于单位正常运营。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2893" w:type="pct"/>
            <w:gridSpan w:val="10"/>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2106" w:type="pct"/>
            <w:gridSpan w:val="7"/>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46" w:hRule="atLeast"/>
        </w:trPr>
        <w:tc>
          <w:tcPr>
            <w:tcW w:w="373"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2519" w:type="pct"/>
            <w:gridSpan w:val="9"/>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保障工作征程运营，按时支付费用。</w:t>
            </w:r>
          </w:p>
        </w:tc>
        <w:tc>
          <w:tcPr>
            <w:tcW w:w="2106" w:type="pct"/>
            <w:gridSpan w:val="7"/>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保障工作正常运营，按时支付费用。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7" w:hRule="atLeast"/>
        </w:trPr>
        <w:tc>
          <w:tcPr>
            <w:tcW w:w="373" w:type="pct"/>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40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64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637"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834"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639"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638"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828"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64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c>
          <w:tcPr>
            <w:tcW w:w="639"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工作完成率</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用水量</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≥33000吨</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用水量</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≥33000吨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用电量</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≥5500度</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用电量</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≥5500度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供暖面积</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≥73元/平米/年</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供暖面积</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≥73元/平米/年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服务质量合格率</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服务质量合格率</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639"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供暖时间</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2022年1月至2022年12月</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供暖时间</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单位供暖成本</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≤6.3元/平方米</w:t>
            </w:r>
          </w:p>
        </w:tc>
        <w:tc>
          <w:tcPr>
            <w:tcW w:w="639"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单位供暖成本</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≤6.3元/平方米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单位用电成本</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≤7.3元/度</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单位用电成本</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≤7.3元/度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单位用水成本</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≤0.75元/吨</w:t>
            </w:r>
          </w:p>
        </w:tc>
        <w:tc>
          <w:tcPr>
            <w:tcW w:w="639"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单位用水成本</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≤0.75元/吨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生态效益指标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生态效益指标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373"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0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64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637"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834"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639"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63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残疾人满意度</w:t>
            </w:r>
          </w:p>
        </w:tc>
        <w:tc>
          <w:tcPr>
            <w:tcW w:w="828"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06" w:hRule="atLeast"/>
        </w:trPr>
        <w:tc>
          <w:tcPr>
            <w:tcW w:w="5000" w:type="pct"/>
            <w:gridSpan w:val="17"/>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（十三）项目支出绩效目标申报表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9" w:hRule="atLeast"/>
        </w:trPr>
        <w:tc>
          <w:tcPr>
            <w:tcW w:w="427"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466"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50"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2236" w:type="pct"/>
            <w:gridSpan w:val="8"/>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596" w:type="pct"/>
            <w:gridSpan w:val="2"/>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23"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3356" w:type="pct"/>
            <w:gridSpan w:val="11"/>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1408"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827"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1120"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1408"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1,206,900</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1120"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402,300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省级财政资金</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1,206,900</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402,300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单位自筹</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3" w:hRule="atLeast"/>
        </w:trPr>
        <w:tc>
          <w:tcPr>
            <w:tcW w:w="1643" w:type="pct"/>
            <w:gridSpan w:val="6"/>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662" w:type="pct"/>
            <w:gridSpan w:val="4"/>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27"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3356" w:type="pct"/>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主要用于单位运转经费（办公费、邮电费、差旅费、委托业务费）等。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3356" w:type="pct"/>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《山西省残疾儿童康复救助制度》（晋政发【2018】43号）“将残疾儿童康复救助纳入本级政府财政预算，确保应救尽救”。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3356" w:type="pct"/>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贯彻落实党的十九大关于“发展残疾人事业，加强残疾康复服务”的重要部署，保障全市残疾儿童及时得到基本康复服务。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3356" w:type="pct"/>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1643"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3356" w:type="pct"/>
            <w:gridSpan w:val="11"/>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单位正常运转经费等，按计划有序地完成工作。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76" w:hRule="atLeast"/>
        </w:trPr>
        <w:tc>
          <w:tcPr>
            <w:tcW w:w="2982" w:type="pct"/>
            <w:gridSpan w:val="11"/>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2017"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302" w:hRule="atLeast"/>
        </w:trPr>
        <w:tc>
          <w:tcPr>
            <w:tcW w:w="427" w:type="pct"/>
            <w:gridSpan w:val="2"/>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2555" w:type="pct"/>
            <w:gridSpan w:val="9"/>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预计承担康复训练任务100名左右，保证特殊儿童康复训练效果、保障特殊儿童康复训练周期、提高特殊儿童康复训练效率，且整体康复训练效果良好；对有需求的残疾人进行摸底登记，再进行政府采购，然后进行合理适配。 保障日常工作顺利开展。      </w:t>
            </w:r>
          </w:p>
        </w:tc>
        <w:tc>
          <w:tcPr>
            <w:tcW w:w="2017" w:type="pct"/>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预计承担康复训练任务100名左右，保证特殊儿童康复训练效果、保障特殊儿童康复训练周期、提高特殊儿童康复训练效率，且整体康复训练效果良好；对有需求的残疾人进行摸底登记，再进行政府采购，然后进行合理适配。保障日常工作顺利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7" w:hRule="atLeast"/>
        </w:trPr>
        <w:tc>
          <w:tcPr>
            <w:tcW w:w="427" w:type="pct"/>
            <w:gridSpan w:val="2"/>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466"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75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746"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593"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897"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596"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523" w:type="pc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75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电话数量</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9部</w:t>
            </w:r>
          </w:p>
        </w:tc>
        <w:tc>
          <w:tcPr>
            <w:tcW w:w="897"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办公用文件柜</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用车数量</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1辆</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办公用硒鼓</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办公用文件柜</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2件</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宽带数量</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办公用硒鼓</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≤50个</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电话数量</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宽带数量</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4个</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宣传时长</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宣传时长</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≥30天</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用车数量</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897"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工作保障率</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897"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资金支付率</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用车费用标准</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16000元</w:t>
            </w:r>
          </w:p>
        </w:tc>
        <w:tc>
          <w:tcPr>
            <w:tcW w:w="897"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宣传费用</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文件柜单价</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≤950元</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文件柜单价</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硒鼓单价</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≤190元 /个</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硒鼓单价</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≤190元 /个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月均电话费</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≤50元 /部</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月均电话费</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≤50元 /部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宣传费用</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≤90000元</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用车费用标准</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16000元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月均宽带费</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≤300元 /个</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月均宽带费</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≤300元 /个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75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97"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897"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促进残疾人事业发展</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97"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7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750" w:type="pct"/>
            <w:gridSpan w:val="2"/>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工作人员满意度</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897" w:type="pct"/>
            <w:gridSpan w:val="3"/>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工作人员满意度</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90" w:hRule="atLeast"/>
        </w:trPr>
        <w:tc>
          <w:tcPr>
            <w:tcW w:w="427" w:type="pct"/>
            <w:gridSpan w:val="2"/>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466"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50" w:type="pct"/>
            <w:gridSpan w:val="2"/>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4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593" w:type="pct"/>
            <w:gridSpan w:val="3"/>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897" w:type="pct"/>
            <w:gridSpan w:val="3"/>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596"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服务群体满意度</w:t>
            </w:r>
          </w:p>
        </w:tc>
        <w:tc>
          <w:tcPr>
            <w:tcW w:w="523"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tbl>
      <w:tblPr>
        <w:tblW w:w="14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016"/>
        <w:gridCol w:w="1116"/>
        <w:gridCol w:w="1836"/>
        <w:gridCol w:w="2196"/>
        <w:gridCol w:w="2096"/>
        <w:gridCol w:w="325"/>
        <w:gridCol w:w="1836"/>
        <w:gridCol w:w="2196"/>
        <w:gridCol w:w="2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73" w:hRule="atLeast"/>
        </w:trPr>
        <w:tc>
          <w:tcPr>
            <w:tcW w:w="5000" w:type="pct"/>
            <w:gridSpan w:val="9"/>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b/>
                <w:bCs/>
                <w:i w:val="0"/>
                <w:iCs w:val="0"/>
                <w:color w:val="000000"/>
                <w:sz w:val="32"/>
                <w:szCs w:val="32"/>
                <w:bdr w:val="none" w:color="auto" w:sz="0" w:space="0"/>
              </w:rPr>
              <w:t>（十四）项目支出绩效目标申报表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44" w:hRule="atLeast"/>
        </w:trPr>
        <w:tc>
          <w:tcPr>
            <w:tcW w:w="360"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391"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11"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9"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5" w:type="pct"/>
            <w:gridSpan w:val="2"/>
            <w:tcBorders>
              <w:top w:val="nil"/>
              <w:left w:val="nil"/>
              <w:bottom w:val="nil"/>
              <w:right w:val="nil"/>
            </w:tcBorders>
            <w:shd w:val="clear"/>
            <w:tcMar>
              <w:left w:w="108" w:type="dxa"/>
              <w:right w:w="108" w:type="dxa"/>
            </w:tcM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top"/>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（2022年度）</w:t>
            </w:r>
          </w:p>
        </w:tc>
        <w:tc>
          <w:tcPr>
            <w:tcW w:w="610"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9"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0" w:type="pct"/>
            <w:tcBorders>
              <w:top w:val="nil"/>
              <w:left w:val="nil"/>
              <w:bottom w:val="nil"/>
              <w:right w:val="nil"/>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tcBorders>
              <w:top w:val="single" w:color="000000" w:sz="8" w:space="0"/>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项目名称</w:t>
            </w:r>
          </w:p>
        </w:tc>
        <w:tc>
          <w:tcPr>
            <w:tcW w:w="3635" w:type="pct"/>
            <w:gridSpan w:val="6"/>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Z特殊儿童康复工作经费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主管部门及代码</w:t>
            </w:r>
          </w:p>
        </w:tc>
        <w:tc>
          <w:tcPr>
            <w:tcW w:w="1409"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122-大同市残疾人联合会[部门]</w:t>
            </w:r>
          </w:p>
        </w:tc>
        <w:tc>
          <w:tcPr>
            <w:tcW w:w="715"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实施单位</w:t>
            </w:r>
          </w:p>
        </w:tc>
        <w:tc>
          <w:tcPr>
            <w:tcW w:w="1510"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大同市残疾人服务指导中心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项目属性</w:t>
            </w:r>
          </w:p>
        </w:tc>
        <w:tc>
          <w:tcPr>
            <w:tcW w:w="1409"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经常性项目（长期开展）</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项目期</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restart"/>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项目资金</w:t>
            </w:r>
            <w:r>
              <w:rPr>
                <w:rFonts w:hint="eastAsia" w:ascii="宋体" w:hAnsi="宋体" w:eastAsia="宋体" w:cs="宋体"/>
                <w:i w:val="0"/>
                <w:iCs w:val="0"/>
                <w:color w:val="000000"/>
                <w:sz w:val="20"/>
                <w:szCs w:val="20"/>
                <w:bdr w:val="none" w:color="auto" w:sz="0" w:space="0"/>
              </w:rPr>
              <w:br w:type="textWrapping"/>
            </w:r>
            <w:r>
              <w:rPr>
                <w:rFonts w:hint="eastAsia" w:ascii="宋体" w:hAnsi="宋体" w:eastAsia="宋体" w:cs="宋体"/>
                <w:i w:val="0"/>
                <w:iCs w:val="0"/>
                <w:color w:val="000000"/>
                <w:sz w:val="20"/>
                <w:szCs w:val="20"/>
                <w:bdr w:val="none" w:color="auto" w:sz="0" w:space="0"/>
              </w:rPr>
              <w:t>（元）</w:t>
            </w: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实施期资金总额：</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101,100</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年度资金总额：</w:t>
            </w:r>
          </w:p>
        </w:tc>
        <w:tc>
          <w:tcPr>
            <w:tcW w:w="1510"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其中：中央财政资金</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省级财政资金</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市县（区）财政资金</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101,100</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市县（区）财政资金</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33,700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单位自筹</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46" w:hRule="atLeast"/>
        </w:trPr>
        <w:tc>
          <w:tcPr>
            <w:tcW w:w="1364" w:type="pct"/>
            <w:gridSpan w:val="3"/>
            <w:vMerge w:val="continue"/>
            <w:tcBorders>
              <w:top w:val="nil"/>
              <w:left w:val="single" w:color="000000" w:sz="8" w:space="0"/>
              <w:bottom w:val="single" w:color="000000" w:sz="8" w:space="0"/>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其他资金</w:t>
            </w:r>
          </w:p>
        </w:tc>
        <w:tc>
          <w:tcPr>
            <w:tcW w:w="689"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15"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18"/>
                <w:szCs w:val="18"/>
                <w:bdr w:val="none" w:color="auto" w:sz="0" w:space="0"/>
              </w:rPr>
              <w:t> 其他资金</w:t>
            </w:r>
          </w:p>
        </w:tc>
        <w:tc>
          <w:tcPr>
            <w:tcW w:w="1510" w:type="pct"/>
            <w:gridSpan w:val="2"/>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项目概况</w:t>
            </w:r>
          </w:p>
        </w:tc>
        <w:tc>
          <w:tcPr>
            <w:tcW w:w="3635"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单位正常运营费（物业费）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9"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立项依据</w:t>
            </w:r>
          </w:p>
        </w:tc>
        <w:tc>
          <w:tcPr>
            <w:tcW w:w="3635"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大同市人民政府办公厅批转大同市教育局等部门关于《大同市第二期特殊教育提升计划实施方案（2017-2020年）》的通知（同政办发[214]号）      《山西省残疾儿童康复救助制度》（晋政发【2018】43号）“将残疾儿童康复救助纳入本级政府财政预算，确保应救尽救”。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项目设立必要性</w:t>
            </w:r>
          </w:p>
        </w:tc>
        <w:tc>
          <w:tcPr>
            <w:tcW w:w="3635"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贯彻落实党的十九大关于“发展残疾人事业，加强残疾康复服务”的重要部署，保障全市残疾儿童及时得到基本康复服务。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保证项目实施的制度、措施</w:t>
            </w:r>
          </w:p>
        </w:tc>
        <w:tc>
          <w:tcPr>
            <w:tcW w:w="3635"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1、事业单位财务管理制度     2、项目专项资金管理制度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1364" w:type="pct"/>
            <w:gridSpan w:val="3"/>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项目实施计划</w:t>
            </w:r>
          </w:p>
        </w:tc>
        <w:tc>
          <w:tcPr>
            <w:tcW w:w="3635" w:type="pct"/>
            <w:gridSpan w:val="6"/>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用于单位物业费。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68" w:hRule="atLeast"/>
        </w:trPr>
        <w:tc>
          <w:tcPr>
            <w:tcW w:w="2879" w:type="pct"/>
            <w:gridSpan w:val="6"/>
            <w:tcBorders>
              <w:top w:val="nil"/>
              <w:left w:val="single" w:color="000000" w:sz="8" w:space="0"/>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实施期目标</w:t>
            </w:r>
          </w:p>
        </w:tc>
        <w:tc>
          <w:tcPr>
            <w:tcW w:w="2120" w:type="pct"/>
            <w:gridSpan w:val="3"/>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33" w:hRule="atLeast"/>
        </w:trPr>
        <w:tc>
          <w:tcPr>
            <w:tcW w:w="360" w:type="pct"/>
            <w:tcBorders>
              <w:top w:val="nil"/>
              <w:left w:val="single" w:color="000000" w:sz="8" w:space="0"/>
              <w:bottom w:val="single" w:color="000000" w:sz="8" w:space="0"/>
              <w:right w:val="single" w:color="000000" w:sz="8" w:space="0"/>
            </w:tcBorders>
            <w:shd w:val="clear"/>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总体目标</w:t>
            </w:r>
          </w:p>
        </w:tc>
        <w:tc>
          <w:tcPr>
            <w:tcW w:w="2518" w:type="pct"/>
            <w:gridSpan w:val="5"/>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《山西省残疾儿童康复救助制度》（晋政发【2018】43号）“将残疾儿童康复救助纳入本级政府财政预算，确保应救尽救”。</w:t>
            </w:r>
          </w:p>
        </w:tc>
        <w:tc>
          <w:tcPr>
            <w:tcW w:w="2120" w:type="pct"/>
            <w:gridSpan w:val="3"/>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保障单位工作正常运营，资金按时支付。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1" w:hRule="atLeast"/>
        </w:trPr>
        <w:tc>
          <w:tcPr>
            <w:tcW w:w="360" w:type="pct"/>
            <w:vMerge w:val="restart"/>
            <w:tcBorders>
              <w:top w:val="nil"/>
              <w:left w:val="single" w:color="000000" w:sz="8" w:space="0"/>
              <w:bottom w:val="nil"/>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0"/>
                <w:szCs w:val="20"/>
                <w:bdr w:val="none" w:color="auto" w:sz="0" w:space="0"/>
              </w:rPr>
              <w:t>绩效指标</w:t>
            </w:r>
          </w:p>
        </w:tc>
        <w:tc>
          <w:tcPr>
            <w:tcW w:w="391"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一级指标</w:t>
            </w:r>
          </w:p>
        </w:tc>
        <w:tc>
          <w:tcPr>
            <w:tcW w:w="611" w:type="pct"/>
            <w:tcBorders>
              <w:top w:val="nil"/>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719" w:type="pc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795" w:type="pct"/>
            <w:gridSpan w:val="2"/>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c>
          <w:tcPr>
            <w:tcW w:w="610" w:type="pc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二级指标</w:t>
            </w:r>
          </w:p>
        </w:tc>
        <w:tc>
          <w:tcPr>
            <w:tcW w:w="719" w:type="pc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三级指标</w:t>
            </w:r>
          </w:p>
        </w:tc>
        <w:tc>
          <w:tcPr>
            <w:tcW w:w="790" w:type="pct"/>
            <w:tcBorders>
              <w:top w:val="single" w:color="000000" w:sz="8" w:space="0"/>
              <w:left w:val="nil"/>
              <w:bottom w:val="single" w:color="000000" w:sz="8" w:space="0"/>
              <w:right w:val="single" w:color="000000" w:sz="8" w:space="0"/>
            </w:tcBorders>
            <w:shd w:val="clear"/>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default" w:ascii="Calibri" w:hAnsi="Calibri" w:cs="Calibri"/>
                <w:i w:val="0"/>
                <w:iCs w:val="0"/>
                <w:sz w:val="21"/>
                <w:szCs w:val="21"/>
              </w:rPr>
            </w:pPr>
            <w:r>
              <w:rPr>
                <w:rFonts w:hint="eastAsia" w:ascii="宋体" w:hAnsi="宋体" w:eastAsia="宋体" w:cs="宋体"/>
                <w:i w:val="0"/>
                <w:iCs w:val="0"/>
                <w:color w:val="000000"/>
                <w:sz w:val="22"/>
                <w:szCs w:val="22"/>
                <w:bdr w:val="none" w:color="auto" w:sz="0" w:space="0"/>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产出指标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物业管理面积</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2914.25平方米</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数量指标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物业管理面积</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2914.25平方米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物业管理工作验收合格率</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质量指标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物业管理工作验收合格率</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物业管理服务时间</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2022年1月至2022年12月</w:t>
            </w:r>
          </w:p>
        </w:tc>
        <w:tc>
          <w:tcPr>
            <w:tcW w:w="610"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时效指标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资金支付及时性</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及时</w:t>
            </w:r>
          </w:p>
        </w:tc>
        <w:tc>
          <w:tcPr>
            <w:tcW w:w="610"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物业管理服务时间</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2022年1月至2022年12月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单位物业管理成本</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≤12元/平方米</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成本指标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单位物业管理成本</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≤12元/平方米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restar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效益指标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经济效益指标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促进单位工作正常运转</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社会效益指标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促进单位工作正常运转</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促进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6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vMerge w:val="continue"/>
            <w:tcBorders>
              <w:top w:val="nil"/>
              <w:left w:val="nil"/>
              <w:bottom w:val="single" w:color="000000" w:sz="8" w:space="0"/>
              <w:right w:val="single" w:color="000000" w:sz="8" w:space="0"/>
            </w:tcBorders>
            <w:shd w:val="clear" w:color="auto" w:fill="FFFFFF"/>
            <w:noWrap/>
            <w:tcMar>
              <w:left w:w="108" w:type="dxa"/>
              <w:right w:w="108" w:type="dxa"/>
            </w:tcMar>
            <w:vAlign w:val="center"/>
          </w:tcPr>
          <w:p>
            <w:pPr>
              <w:rPr>
                <w:rFonts w:hint="default" w:ascii="Times New Roman" w:hAnsi="Times New Roman" w:cs="Times New Roman"/>
                <w:i w:val="0"/>
                <w:iCs w:val="0"/>
                <w:sz w:val="20"/>
                <w:szCs w:val="20"/>
              </w:rPr>
            </w:pP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可持续影响指标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i w:val="0"/>
                <w:iCs w:val="0"/>
                <w:sz w:val="21"/>
                <w:szCs w:val="21"/>
              </w:rPr>
            </w:pPr>
            <w:r>
              <w:rPr>
                <w:rFonts w:hint="default" w:ascii="Calibri" w:hAnsi="Calibri" w:cs="Calibri"/>
                <w:i w:val="0"/>
                <w:iCs w:val="0"/>
                <w:sz w:val="21"/>
                <w:szCs w:val="21"/>
                <w:bdr w:val="none" w:color="auto" w:sz="0" w:space="0"/>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84" w:hRule="atLeast"/>
        </w:trPr>
        <w:tc>
          <w:tcPr>
            <w:tcW w:w="360" w:type="pct"/>
            <w:vMerge w:val="continue"/>
            <w:tcBorders>
              <w:top w:val="nil"/>
              <w:left w:val="single" w:color="000000" w:sz="8" w:space="0"/>
              <w:bottom w:val="nil"/>
              <w:right w:val="single" w:color="000000" w:sz="8" w:space="0"/>
            </w:tcBorders>
            <w:shd w:val="clear"/>
            <w:tcMar>
              <w:left w:w="108" w:type="dxa"/>
              <w:right w:w="108" w:type="dxa"/>
            </w:tcMar>
            <w:vAlign w:val="center"/>
          </w:tcPr>
          <w:p>
            <w:pPr>
              <w:rPr>
                <w:rFonts w:hint="default" w:ascii="Times New Roman" w:hAnsi="Times New Roman" w:cs="Times New Roman"/>
                <w:i w:val="0"/>
                <w:iCs w:val="0"/>
                <w:sz w:val="20"/>
                <w:szCs w:val="20"/>
              </w:rPr>
            </w:pPr>
          </w:p>
        </w:tc>
        <w:tc>
          <w:tcPr>
            <w:tcW w:w="39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满意度指标</w:t>
            </w:r>
          </w:p>
        </w:tc>
        <w:tc>
          <w:tcPr>
            <w:tcW w:w="611"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特殊儿童满意度</w:t>
            </w:r>
          </w:p>
        </w:tc>
        <w:tc>
          <w:tcPr>
            <w:tcW w:w="795" w:type="pct"/>
            <w:gridSpan w:val="2"/>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c>
          <w:tcPr>
            <w:tcW w:w="61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服务对象满意度指标</w:t>
            </w:r>
          </w:p>
        </w:tc>
        <w:tc>
          <w:tcPr>
            <w:tcW w:w="719"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特殊儿童满意度</w:t>
            </w:r>
          </w:p>
        </w:tc>
        <w:tc>
          <w:tcPr>
            <w:tcW w:w="790" w:type="pct"/>
            <w:tcBorders>
              <w:top w:val="nil"/>
              <w:left w:val="nil"/>
              <w:bottom w:val="single" w:color="000000" w:sz="8" w:space="0"/>
              <w:right w:val="single" w:color="000000" w:sz="8" w:space="0"/>
            </w:tcBorders>
            <w:shd w:val="clear" w:color="auto" w:fill="FFFFFF"/>
            <w:noWrap/>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default" w:ascii="Calibri" w:hAnsi="Calibri" w:cs="Calibri"/>
                <w:i w:val="0"/>
                <w:iCs w:val="0"/>
                <w:sz w:val="21"/>
                <w:szCs w:val="21"/>
              </w:rPr>
            </w:pPr>
            <w:r>
              <w:rPr>
                <w:rFonts w:hint="eastAsia" w:ascii="宋体" w:hAnsi="宋体" w:eastAsia="宋体" w:cs="宋体"/>
                <w:i w:val="0"/>
                <w:iCs w:val="0"/>
                <w:color w:val="333333"/>
                <w:sz w:val="18"/>
                <w:szCs w:val="18"/>
                <w:bdr w:val="none" w:color="auto" w:sz="0" w:space="0"/>
              </w:rPr>
              <w:t>≥95%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eastAsia="宋体" w:cs="Calibri"/>
          <w:i w:val="0"/>
          <w:iCs w:val="0"/>
          <w:caps w:val="0"/>
          <w:color w:val="333333"/>
          <w:spacing w:val="0"/>
          <w:sz w:val="24"/>
          <w:szCs w:val="24"/>
          <w:bdr w:val="none" w:color="auto" w:sz="0" w:space="0"/>
          <w:shd w:val="clear" w:fill="FFFFFF"/>
        </w:rPr>
        <w:sectPr>
          <w:pgSz w:w="16838" w:h="11906" w:orient="landscape"/>
          <w:pgMar w:top="1800" w:right="1440" w:bottom="1800" w:left="1440" w:header="851" w:footer="992" w:gutter="0"/>
          <w:cols w:space="425" w:num="1"/>
          <w:docGrid w:type="lines" w:linePitch="312" w:charSpace="0"/>
        </w:sect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right="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sz w:val="24"/>
          <w:szCs w:val="24"/>
        </w:rPr>
      </w:pPr>
      <w:r>
        <w:rPr>
          <w:rFonts w:hint="default" w:ascii="仿宋_GB2312" w:hAnsi="Calibri" w:eastAsia="仿宋_GB2312" w:cs="仿宋_GB2312"/>
          <w:b/>
          <w:bCs/>
          <w:i w:val="0"/>
          <w:iCs w:val="0"/>
          <w:caps w:val="0"/>
          <w:color w:val="000000"/>
          <w:spacing w:val="0"/>
          <w:sz w:val="32"/>
          <w:szCs w:val="32"/>
          <w:bdr w:val="none" w:color="auto" w:sz="0" w:space="0"/>
          <w:shd w:val="clear" w:fill="FFFFFF"/>
        </w:rPr>
        <w:t>六、国有资产占有使用情况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（一）车辆情况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我部门共有3辆车，其中：1辆机要通信用车，1辆</w:t>
      </w:r>
      <w:r>
        <w:rPr>
          <w:rFonts w:hint="eastAsia" w:ascii="仿宋" w:hAnsi="仿宋" w:eastAsia="仿宋" w:cs="仿宋"/>
          <w:i w:val="0"/>
          <w:iCs w:val="0"/>
          <w:caps w:val="0"/>
          <w:color w:val="333333"/>
          <w:spacing w:val="0"/>
          <w:sz w:val="32"/>
          <w:szCs w:val="32"/>
          <w:bdr w:val="none" w:color="auto" w:sz="0" w:space="0"/>
          <w:shd w:val="clear" w:fill="FFFFFF"/>
        </w:rPr>
        <w:t>工作用车，1辆残疾人特殊服务用车。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（二）房屋情况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w:t>
      </w:r>
      <w:r>
        <w:rPr>
          <w:rFonts w:hint="eastAsia" w:ascii="仿宋" w:hAnsi="仿宋" w:eastAsia="仿宋" w:cs="仿宋"/>
          <w:i w:val="0"/>
          <w:iCs w:val="0"/>
          <w:caps w:val="0"/>
          <w:color w:val="333333"/>
          <w:spacing w:val="0"/>
          <w:sz w:val="32"/>
          <w:szCs w:val="32"/>
          <w:bdr w:val="none" w:color="auto" w:sz="0" w:space="0"/>
          <w:shd w:val="clear" w:fill="FFFFFF"/>
        </w:rPr>
        <w:t>系统共有房屋2604.99平方米。其中办公用房427.5平方米，业务用房2137.49平方米，其他房屋40平方米。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（三）其他国有资产占有使用情况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iCs w:val="0"/>
          <w:sz w:val="21"/>
          <w:szCs w:val="21"/>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我部门</w:t>
      </w:r>
      <w:r>
        <w:rPr>
          <w:rFonts w:hint="eastAsia" w:ascii="仿宋" w:hAnsi="仿宋" w:eastAsia="仿宋" w:cs="仿宋"/>
          <w:i w:val="0"/>
          <w:iCs w:val="0"/>
          <w:caps w:val="0"/>
          <w:color w:val="333333"/>
          <w:spacing w:val="0"/>
          <w:sz w:val="32"/>
          <w:szCs w:val="32"/>
          <w:bdr w:val="none" w:color="auto" w:sz="0" w:space="0"/>
          <w:shd w:val="clear" w:fill="FFFFFF"/>
        </w:rPr>
        <w:t>没有单位价值50万元以上通用设备和单位价值100万元以上专用设备。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default" w:ascii="Calibri" w:hAnsi="Calibri" w:cs="Calibri"/>
          <w:i w:val="0"/>
          <w:iCs w:val="0"/>
          <w:sz w:val="24"/>
          <w:szCs w:val="24"/>
        </w:rPr>
      </w:pPr>
      <w:r>
        <w:rPr>
          <w:rFonts w:hint="default" w:ascii="Calibri" w:hAnsi="Calibri" w:eastAsia="宋体" w:cs="Calibri"/>
          <w:i w:val="0"/>
          <w:iCs w:val="0"/>
          <w:caps w:val="0"/>
          <w:color w:val="333333"/>
          <w:spacing w:val="0"/>
          <w:sz w:val="24"/>
          <w:szCs w:val="24"/>
          <w:bdr w:val="none" w:color="auto" w:sz="0" w:space="0"/>
          <w:shd w:val="clear" w:fill="FFFFFF"/>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default" w:ascii="Calibri" w:hAnsi="Calibri" w:cs="Calibri"/>
          <w:i w:val="0"/>
          <w:iCs w:val="0"/>
          <w:sz w:val="24"/>
          <w:szCs w:val="24"/>
        </w:rPr>
      </w:pPr>
      <w:r>
        <w:rPr>
          <w:rFonts w:hint="eastAsia" w:ascii="黑体" w:hAnsi="宋体" w:eastAsia="黑体" w:cs="黑体"/>
          <w:b/>
          <w:bCs/>
          <w:i w:val="0"/>
          <w:iCs w:val="0"/>
          <w:caps w:val="0"/>
          <w:color w:val="000000"/>
          <w:spacing w:val="0"/>
          <w:sz w:val="32"/>
          <w:szCs w:val="32"/>
          <w:bdr w:val="none" w:color="auto" w:sz="0" w:space="0"/>
          <w:shd w:val="clear" w:fill="FFFFFF"/>
        </w:rPr>
        <w:t>第四部分 名词解释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（一）基本支出：指为保障机构正常运转、完成日常工作任务而发生的人员支出和公用支出。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5"/>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（二）项目支出：指在基本支出之外为完成特定行政任务和事业发展目标所发生的支出。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5"/>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（三）“三公</w:t>
      </w:r>
      <w:r>
        <w:rPr>
          <w:rFonts w:hint="default" w:ascii="Calibri" w:hAnsi="Calibri" w:eastAsia="仿宋_GB2312" w:cs="Calibri"/>
          <w:b w:val="0"/>
          <w:bCs w:val="0"/>
          <w:i w:val="0"/>
          <w:iCs w:val="0"/>
          <w:caps w:val="0"/>
          <w:color w:val="000000"/>
          <w:spacing w:val="0"/>
          <w:sz w:val="32"/>
          <w:szCs w:val="32"/>
          <w:bdr w:val="none" w:color="auto" w:sz="0" w:space="0"/>
          <w:shd w:val="clear" w:fill="FFFFFF"/>
        </w:rPr>
        <w:t>”</w:t>
      </w: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5"/>
        <w:jc w:val="left"/>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（四）机关运行经费：指行政单位和参照公务员法管理的事业单位使用一般公共预算安排的基本支出中的公用经费支出。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Calibri" w:hAnsi="Calibri" w:cs="Calibri"/>
          <w:i w:val="0"/>
          <w:iCs w:val="0"/>
          <w:sz w:val="24"/>
          <w:szCs w:val="24"/>
        </w:rPr>
      </w:pPr>
      <w:r>
        <w:rPr>
          <w:rFonts w:hint="default" w:ascii="仿宋_GB2312" w:hAnsi="Calibri" w:eastAsia="仿宋_GB2312" w:cs="仿宋_GB2312"/>
          <w:b w:val="0"/>
          <w:bCs w:val="0"/>
          <w:i w:val="0"/>
          <w:iCs w:val="0"/>
          <w:caps w:val="0"/>
          <w:color w:val="000000"/>
          <w:spacing w:val="0"/>
          <w:sz w:val="32"/>
          <w:szCs w:val="32"/>
          <w:bdr w:val="none" w:color="auto" w:sz="0" w:space="0"/>
          <w:shd w:val="clear" w:fill="FFFFFF"/>
        </w:rPr>
        <w:t>（五）政府采购：指各级国家机关、事业单位和团体组织使用财政性资金采购依法制定的集中采购目录以内的或者采购限额标准以上的货物、工程和服务的行为。</w:t>
      </w:r>
    </w:p>
    <w:p>
      <w:pPr>
        <w:pStyle w:val="2"/>
        <w:rPr>
          <w:rFonts w:hint="eastAsia" w:ascii="宋体" w:hAnsi="宋体" w:eastAsia="宋体" w:cs="宋体"/>
          <w:b/>
          <w:bCs/>
          <w:color w:val="282828"/>
          <w:spacing w:val="60"/>
          <w:kern w:val="36"/>
          <w:sz w:val="44"/>
          <w:szCs w:val="44"/>
        </w:rPr>
      </w:pPr>
    </w:p>
    <w:p>
      <w:pPr>
        <w:pStyle w:val="4"/>
        <w:rPr>
          <w:rFonts w:hint="eastAsia" w:ascii="宋体" w:hAnsi="宋体" w:eastAsia="宋体" w:cs="宋体"/>
          <w:b/>
          <w:bCs/>
          <w:color w:val="282828"/>
          <w:spacing w:val="60"/>
          <w:kern w:val="36"/>
          <w:sz w:val="44"/>
          <w:szCs w:val="44"/>
        </w:rPr>
      </w:pPr>
    </w:p>
    <w:p>
      <w:pPr>
        <w:rPr>
          <w:rFonts w:hint="eastAsia" w:ascii="宋体" w:hAnsi="宋体" w:eastAsia="宋体" w:cs="宋体"/>
          <w:b/>
          <w:bCs/>
          <w:color w:val="282828"/>
          <w:spacing w:val="60"/>
          <w:kern w:val="36"/>
          <w:sz w:val="44"/>
          <w:szCs w:val="44"/>
        </w:rPr>
      </w:pPr>
    </w:p>
    <w:p>
      <w:pPr>
        <w:pStyle w:val="2"/>
        <w:rPr>
          <w:rFonts w:hint="eastAsia" w:ascii="宋体" w:hAnsi="宋体" w:eastAsia="宋体" w:cs="宋体"/>
          <w:b/>
          <w:bCs/>
          <w:color w:val="282828"/>
          <w:spacing w:val="60"/>
          <w:kern w:val="36"/>
          <w:sz w:val="44"/>
          <w:szCs w:val="44"/>
        </w:rPr>
      </w:pPr>
    </w:p>
    <w:p>
      <w:pPr>
        <w:pStyle w:val="4"/>
        <w:rPr>
          <w:rFonts w:hint="eastAsia"/>
        </w:rPr>
      </w:pPr>
    </w:p>
    <w:p>
      <w:pPr>
        <w:pStyle w:val="2"/>
        <w:rPr>
          <w:rFonts w:hint="eastAsia" w:ascii="宋体" w:hAnsi="宋体" w:eastAsia="宋体" w:cs="宋体"/>
          <w:b/>
          <w:bCs/>
          <w:color w:val="282828"/>
          <w:spacing w:val="60"/>
          <w:kern w:val="36"/>
          <w:sz w:val="44"/>
          <w:szCs w:val="44"/>
        </w:rPr>
      </w:pPr>
    </w:p>
    <w:p>
      <w:pPr>
        <w:pStyle w:val="4"/>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8141E3"/>
    <w:multiLevelType w:val="multilevel"/>
    <w:tmpl w:val="668141E3"/>
    <w:lvl w:ilvl="0" w:tentative="0">
      <w:start w:val="1"/>
      <w:numFmt w:val="none"/>
      <w:lvlText w:val="一、"/>
      <w:lvlJc w:val="left"/>
      <w:pPr>
        <w:ind w:left="640" w:hanging="6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YjMyOGU0NTM1Y2ZkY2JhYTVlNWRlNjg0YmFmYmYifQ=="/>
  </w:docVars>
  <w:rsids>
    <w:rsidRoot w:val="00000000"/>
    <w:rsid w:val="0E5E6115"/>
    <w:rsid w:val="1E8219AC"/>
    <w:rsid w:val="1FE31EFA"/>
    <w:rsid w:val="311A1F18"/>
    <w:rsid w:val="3A323E2F"/>
    <w:rsid w:val="3B8B69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正文首行缩进 21"/>
    <w:basedOn w:val="3"/>
    <w:next w:val="4"/>
    <w:qFormat/>
    <w:uiPriority w:val="0"/>
    <w:pPr>
      <w:ind w:firstLine="200" w:firstLineChars="200"/>
    </w:pPr>
  </w:style>
  <w:style w:type="paragraph" w:customStyle="1" w:styleId="3">
    <w:name w:val="正文文本缩进1"/>
    <w:basedOn w:val="1"/>
    <w:qFormat/>
    <w:uiPriority w:val="0"/>
    <w:pPr>
      <w:ind w:left="200" w:leftChars="200"/>
    </w:pPr>
  </w:style>
  <w:style w:type="paragraph" w:styleId="4">
    <w:name w:val="Normal (Web)"/>
    <w:basedOn w:val="1"/>
    <w:next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刘晓</cp:lastModifiedBy>
  <dcterms:modified xsi:type="dcterms:W3CDTF">2023-10-03T07:14:00Z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E4B1EB154D8D4E4BAD8E82A8FC7F6683_12</vt:lpwstr>
  </property>
</Properties>
</file>